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F6BC6">
        <w:rPr>
          <w:b/>
          <w:sz w:val="28"/>
          <w:szCs w:val="28"/>
        </w:rPr>
        <w:t>00</w:t>
      </w:r>
      <w:r w:rsidR="00AC0B7D">
        <w:rPr>
          <w:b/>
          <w:sz w:val="28"/>
          <w:szCs w:val="28"/>
        </w:rPr>
        <w:t>8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AC0B7D">
        <w:rPr>
          <w:b/>
          <w:sz w:val="28"/>
          <w:szCs w:val="28"/>
        </w:rPr>
        <w:t>8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proofErr w:type="spellStart"/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</w:t>
      </w:r>
      <w:proofErr w:type="spellEnd"/>
      <w:r w:rsidR="00C97165">
        <w:rPr>
          <w:b/>
          <w:sz w:val="28"/>
          <w:szCs w:val="28"/>
        </w:rPr>
        <w:t xml:space="preserve">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E06A79">
        <w:rPr>
          <w:sz w:val="28"/>
          <w:szCs w:val="28"/>
        </w:rPr>
        <w:t>05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F36880">
        <w:rPr>
          <w:sz w:val="28"/>
          <w:szCs w:val="28"/>
        </w:rPr>
        <w:t>марта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proofErr w:type="spellStart"/>
      <w:r w:rsidR="00A23533" w:rsidRPr="00A23533">
        <w:rPr>
          <w:sz w:val="28"/>
          <w:szCs w:val="28"/>
        </w:rPr>
        <w:t>Саморегулируемой</w:t>
      </w:r>
      <w:proofErr w:type="spellEnd"/>
      <w:r w:rsidR="00A23533" w:rsidRPr="00A23533">
        <w:rPr>
          <w:sz w:val="28"/>
          <w:szCs w:val="28"/>
        </w:rPr>
        <w:t xml:space="preserve">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CA5B60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6F5EF6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F4F13" w:rsidRPr="006F5EF6" w:rsidRDefault="004F4F13" w:rsidP="002B6EE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B6EE6" w:rsidRPr="006F5EF6" w:rsidRDefault="002B6EE6" w:rsidP="002B6EE6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36880" w:rsidRPr="002B6EE6" w:rsidRDefault="002B6EE6" w:rsidP="002B6EE6">
      <w:pPr>
        <w:tabs>
          <w:tab w:val="left" w:pos="1480"/>
        </w:tabs>
        <w:ind w:firstLine="709"/>
        <w:jc w:val="both"/>
        <w:rPr>
          <w:b/>
          <w:sz w:val="28"/>
          <w:szCs w:val="28"/>
        </w:rPr>
      </w:pPr>
      <w:r w:rsidRPr="006F5EF6">
        <w:rPr>
          <w:sz w:val="28"/>
          <w:szCs w:val="28"/>
        </w:rPr>
        <w:t>3</w:t>
      </w:r>
      <w:r w:rsidR="004F4F13" w:rsidRPr="006F5EF6">
        <w:rPr>
          <w:sz w:val="28"/>
          <w:szCs w:val="28"/>
        </w:rPr>
        <w:t xml:space="preserve">. </w:t>
      </w:r>
      <w:r w:rsidR="00AC0B7D" w:rsidRPr="006F5EF6">
        <w:rPr>
          <w:sz w:val="28"/>
          <w:szCs w:val="28"/>
        </w:rPr>
        <w:t>О приёме в члены Партнерства ООО «</w:t>
      </w:r>
      <w:proofErr w:type="spellStart"/>
      <w:r w:rsidR="00AC0B7D" w:rsidRPr="006F5EF6">
        <w:rPr>
          <w:sz w:val="28"/>
          <w:szCs w:val="28"/>
        </w:rPr>
        <w:t>Инжситиком</w:t>
      </w:r>
      <w:proofErr w:type="spellEnd"/>
      <w:r w:rsidR="00AC0B7D" w:rsidRPr="002B6EE6">
        <w:rPr>
          <w:sz w:val="28"/>
          <w:szCs w:val="28"/>
        </w:rPr>
        <w:t>»</w:t>
      </w:r>
    </w:p>
    <w:p w:rsidR="004F4F13" w:rsidRDefault="004F4F13" w:rsidP="004B35B6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4B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7D5084">
        <w:rPr>
          <w:sz w:val="28"/>
          <w:szCs w:val="28"/>
        </w:rPr>
        <w:t>Калядина</w:t>
      </w:r>
      <w:proofErr w:type="spellEnd"/>
      <w:r w:rsidR="007D5084">
        <w:rPr>
          <w:sz w:val="28"/>
          <w:szCs w:val="28"/>
        </w:rPr>
        <w:t xml:space="preserve"> Ю.В.</w:t>
      </w:r>
    </w:p>
    <w:p w:rsidR="007D5084" w:rsidRDefault="007D5084" w:rsidP="004B35B6">
      <w:pPr>
        <w:ind w:firstLine="709"/>
        <w:jc w:val="both"/>
        <w:rPr>
          <w:sz w:val="28"/>
          <w:szCs w:val="28"/>
        </w:rPr>
      </w:pPr>
    </w:p>
    <w:p w:rsidR="007D5084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4B35B6">
      <w:pPr>
        <w:ind w:firstLine="709"/>
        <w:jc w:val="both"/>
        <w:rPr>
          <w:sz w:val="28"/>
          <w:szCs w:val="28"/>
        </w:rPr>
      </w:pPr>
    </w:p>
    <w:p w:rsidR="00506D1E" w:rsidRDefault="007D5084" w:rsidP="004B35B6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Генерального директора  Партнерства  </w:t>
      </w:r>
      <w:proofErr w:type="spellStart"/>
      <w:r w:rsidRPr="002B6EE6">
        <w:rPr>
          <w:sz w:val="28"/>
          <w:szCs w:val="28"/>
        </w:rPr>
        <w:t>Шилину</w:t>
      </w:r>
      <w:proofErr w:type="spellEnd"/>
      <w:r w:rsidRPr="002B6EE6">
        <w:rPr>
          <w:sz w:val="28"/>
          <w:szCs w:val="28"/>
        </w:rPr>
        <w:t xml:space="preserve"> М.В. о поступивш</w:t>
      </w:r>
      <w:r w:rsidR="00C95B2F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C95B2F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предоставлено свидетельство о допуске Партнерства.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lastRenderedPageBreak/>
        <w:t>Постановили:</w:t>
      </w:r>
    </w:p>
    <w:p w:rsidR="002B6EE6" w:rsidRPr="002B6EE6" w:rsidRDefault="002B6EE6" w:rsidP="002B6EE6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2B6EE6">
      <w:pPr>
        <w:ind w:firstLine="709"/>
        <w:jc w:val="both"/>
        <w:rPr>
          <w:sz w:val="28"/>
          <w:szCs w:val="28"/>
        </w:rPr>
      </w:pPr>
      <w:proofErr w:type="gramStart"/>
      <w:r w:rsidRPr="002B6EE6">
        <w:rPr>
          <w:sz w:val="28"/>
          <w:szCs w:val="28"/>
        </w:rPr>
        <w:t>На основании заявлени</w:t>
      </w:r>
      <w:r w:rsidR="00C95B2F">
        <w:rPr>
          <w:sz w:val="28"/>
          <w:szCs w:val="28"/>
        </w:rPr>
        <w:t>й</w:t>
      </w:r>
      <w:r w:rsidRPr="002B6EE6">
        <w:rPr>
          <w:sz w:val="28"/>
          <w:szCs w:val="28"/>
        </w:rPr>
        <w:t xml:space="preserve"> член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C95B2F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C95B2F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  <w:proofErr w:type="gramEnd"/>
    </w:p>
    <w:p w:rsidR="002B6EE6" w:rsidRPr="00F818DA" w:rsidRDefault="002B6EE6" w:rsidP="004B35B6">
      <w:pPr>
        <w:ind w:firstLine="709"/>
        <w:jc w:val="both"/>
        <w:rPr>
          <w:sz w:val="28"/>
          <w:szCs w:val="28"/>
        </w:rPr>
      </w:pPr>
    </w:p>
    <w:p w:rsidR="006F5EF6" w:rsidRDefault="006F5EF6" w:rsidP="006F5EF6">
      <w:pPr>
        <w:jc w:val="both"/>
        <w:rPr>
          <w:sz w:val="28"/>
          <w:szCs w:val="28"/>
        </w:rPr>
      </w:pPr>
    </w:p>
    <w:p w:rsidR="00AC0B7D" w:rsidRPr="006F5EF6" w:rsidRDefault="006F5EF6" w:rsidP="006F5E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AC0B7D" w:rsidRPr="006F5EF6">
        <w:rPr>
          <w:sz w:val="28"/>
          <w:szCs w:val="28"/>
        </w:rPr>
        <w:t xml:space="preserve">По </w:t>
      </w:r>
      <w:r w:rsidR="002B6EE6" w:rsidRPr="006F5EF6">
        <w:rPr>
          <w:sz w:val="28"/>
          <w:szCs w:val="28"/>
        </w:rPr>
        <w:t>третьему</w:t>
      </w:r>
      <w:r w:rsidR="00AC0B7D" w:rsidRPr="006F5EF6">
        <w:rPr>
          <w:sz w:val="28"/>
          <w:szCs w:val="28"/>
        </w:rPr>
        <w:t xml:space="preserve"> вопросу слушали Генерального директора Партнерства </w:t>
      </w:r>
      <w:r w:rsidR="00AC0B7D" w:rsidRPr="006F5EF6">
        <w:rPr>
          <w:sz w:val="28"/>
          <w:szCs w:val="28"/>
        </w:rPr>
        <w:br/>
      </w:r>
      <w:proofErr w:type="spellStart"/>
      <w:r w:rsidR="00AC0B7D" w:rsidRPr="006F5EF6">
        <w:rPr>
          <w:sz w:val="28"/>
          <w:szCs w:val="28"/>
        </w:rPr>
        <w:t>Шилину</w:t>
      </w:r>
      <w:proofErr w:type="spellEnd"/>
      <w:r w:rsidR="00AC0B7D" w:rsidRPr="006F5EF6">
        <w:rPr>
          <w:sz w:val="28"/>
          <w:szCs w:val="28"/>
        </w:rPr>
        <w:t xml:space="preserve"> М.В. о поступившем заявлении ООО «</w:t>
      </w:r>
      <w:proofErr w:type="spellStart"/>
      <w:r w:rsidR="00AC0B7D" w:rsidRPr="006F5EF6">
        <w:rPr>
          <w:sz w:val="28"/>
          <w:szCs w:val="28"/>
        </w:rPr>
        <w:t>Инжситиком</w:t>
      </w:r>
      <w:proofErr w:type="spellEnd"/>
      <w:r w:rsidR="00AC0B7D" w:rsidRPr="006F5EF6">
        <w:rPr>
          <w:sz w:val="28"/>
          <w:szCs w:val="28"/>
        </w:rPr>
        <w:t>» о приеме в члены Партнерства на предмет соответствия требованиям, предъявляемым к членам  Партнерства.</w:t>
      </w:r>
    </w:p>
    <w:p w:rsidR="00AC0B7D" w:rsidRPr="00AC0B7D" w:rsidRDefault="00AC0B7D" w:rsidP="00AC0B7D">
      <w:pPr>
        <w:ind w:firstLine="709"/>
        <w:jc w:val="both"/>
        <w:rPr>
          <w:sz w:val="28"/>
          <w:szCs w:val="28"/>
        </w:rPr>
      </w:pPr>
    </w:p>
    <w:p w:rsidR="00AC0B7D" w:rsidRPr="00AC0B7D" w:rsidRDefault="00AC0B7D" w:rsidP="00AC0B7D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AC0B7D" w:rsidRPr="00AC0B7D" w:rsidRDefault="00AC0B7D" w:rsidP="00AC0B7D">
      <w:pPr>
        <w:ind w:firstLine="709"/>
        <w:jc w:val="both"/>
        <w:rPr>
          <w:b/>
          <w:sz w:val="28"/>
          <w:szCs w:val="28"/>
        </w:rPr>
      </w:pPr>
    </w:p>
    <w:p w:rsidR="00AC0B7D" w:rsidRPr="00AC0B7D" w:rsidRDefault="00AC0B7D" w:rsidP="00AC0B7D">
      <w:pPr>
        <w:ind w:firstLine="709"/>
        <w:jc w:val="both"/>
        <w:rPr>
          <w:b/>
          <w:sz w:val="28"/>
          <w:szCs w:val="28"/>
        </w:rPr>
      </w:pPr>
      <w:r w:rsidRPr="00AC0B7D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Актом документарной проверки принять ООО «</w:t>
      </w:r>
      <w:proofErr w:type="spellStart"/>
      <w:r>
        <w:rPr>
          <w:sz w:val="28"/>
          <w:szCs w:val="28"/>
        </w:rPr>
        <w:t>Инжситиком</w:t>
      </w:r>
      <w:proofErr w:type="spellEnd"/>
      <w:r w:rsidRPr="00AC0B7D">
        <w:rPr>
          <w:sz w:val="28"/>
          <w:szCs w:val="28"/>
        </w:rPr>
        <w:t xml:space="preserve">» в члены Партнерства с выдачей свидетельства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 w:rsidR="002B6EE6"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F36880" w:rsidRDefault="00F36880" w:rsidP="00AC0B7D">
      <w:pPr>
        <w:ind w:firstLine="709"/>
        <w:jc w:val="both"/>
        <w:rPr>
          <w:sz w:val="28"/>
          <w:szCs w:val="28"/>
        </w:rPr>
      </w:pPr>
    </w:p>
    <w:p w:rsidR="000F7537" w:rsidRDefault="000F7537" w:rsidP="00BB073E">
      <w:pPr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64565" w:rsidRDefault="00C64565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BF1D53">
        <w:t>05</w:t>
      </w:r>
      <w:r w:rsidRPr="00C75A6D">
        <w:t xml:space="preserve">» </w:t>
      </w:r>
      <w:r>
        <w:t>марта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>
        <w:t>8</w:t>
      </w:r>
      <w:r w:rsidRPr="001668DD">
        <w:t>(03</w:t>
      </w:r>
      <w:r>
        <w:t>8</w:t>
      </w:r>
      <w:r w:rsidRPr="001668DD">
        <w:t>)-2011</w:t>
      </w: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B6EE6" w:rsidRPr="004C5D77" w:rsidTr="003808AE">
        <w:trPr>
          <w:trHeight w:val="3961"/>
        </w:trPr>
        <w:tc>
          <w:tcPr>
            <w:tcW w:w="628" w:type="dxa"/>
          </w:tcPr>
          <w:p w:rsidR="002B6EE6" w:rsidRPr="004C5D77" w:rsidRDefault="002B6EE6" w:rsidP="003808AE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6EE6" w:rsidRPr="004C5D77" w:rsidRDefault="002B6EE6" w:rsidP="003808AE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B6EE6" w:rsidRPr="00DD230C" w:rsidRDefault="002B6EE6" w:rsidP="003808AE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B6EE6" w:rsidRPr="00DD230C" w:rsidRDefault="002B6EE6" w:rsidP="003808AE">
            <w:pPr>
              <w:ind w:left="-534"/>
              <w:contextualSpacing/>
              <w:jc w:val="center"/>
            </w:pPr>
          </w:p>
          <w:p w:rsidR="002B6EE6" w:rsidRPr="00DD230C" w:rsidRDefault="002B6EE6" w:rsidP="003808AE">
            <w:pPr>
              <w:contextualSpacing/>
              <w:jc w:val="center"/>
            </w:pPr>
          </w:p>
          <w:p w:rsidR="002B6EE6" w:rsidRPr="00DD230C" w:rsidRDefault="002B6EE6" w:rsidP="003808AE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B6EE6" w:rsidRPr="004C5D77" w:rsidRDefault="002B6EE6" w:rsidP="003808AE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2B6EE6" w:rsidRPr="004C5D77" w:rsidTr="00EF530A">
        <w:trPr>
          <w:trHeight w:val="274"/>
        </w:trPr>
        <w:tc>
          <w:tcPr>
            <w:tcW w:w="628" w:type="dxa"/>
            <w:tcBorders>
              <w:right w:val="single" w:sz="4" w:space="0" w:color="000000"/>
            </w:tcBorders>
          </w:tcPr>
          <w:p w:rsidR="002B6EE6" w:rsidRDefault="002B6EE6" w:rsidP="003808AE">
            <w:r>
              <w:t>1.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2B6EE6" w:rsidRPr="002B6EE6" w:rsidRDefault="002B6EE6" w:rsidP="003808AE">
            <w:pPr>
              <w:shd w:val="clear" w:color="auto" w:fill="FFFFFF"/>
              <w:spacing w:after="15"/>
              <w:jc w:val="center"/>
            </w:pPr>
            <w:r w:rsidRPr="002B6EE6">
              <w:rPr>
                <w:bCs/>
                <w:shd w:val="clear" w:color="auto" w:fill="FFFFFF"/>
              </w:rPr>
              <w:t>Общество с ограниченной ответственностью «Стройводсервис»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B6EE6" w:rsidRPr="002B6EE6" w:rsidRDefault="002B6EE6" w:rsidP="002B6EE6">
            <w:pPr>
              <w:shd w:val="clear" w:color="auto" w:fill="FFFFFF"/>
              <w:spacing w:after="15"/>
              <w:jc w:val="center"/>
            </w:pPr>
            <w:r w:rsidRPr="002B6EE6">
              <w:t>№054.0</w:t>
            </w:r>
            <w:r>
              <w:t>4</w:t>
            </w:r>
            <w:r w:rsidRPr="002B6EE6">
              <w:t>-2009-</w:t>
            </w:r>
            <w:r w:rsidRPr="002B6EE6">
              <w:rPr>
                <w:bCs/>
              </w:rPr>
              <w:t>7733056832</w:t>
            </w:r>
            <w:r w:rsidRPr="002B6EE6">
              <w:t>-П-027</w:t>
            </w:r>
          </w:p>
          <w:p w:rsidR="002B6EE6" w:rsidRPr="00EB3815" w:rsidRDefault="002B6EE6" w:rsidP="002B6EE6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2B6EE6" w:rsidRPr="000A6198" w:rsidRDefault="002B6EE6" w:rsidP="003808AE">
            <w:pPr>
              <w:contextualSpacing/>
              <w:jc w:val="center"/>
            </w:pPr>
            <w:r w:rsidRPr="000A6198">
              <w:t>13</w:t>
            </w:r>
          </w:p>
        </w:tc>
        <w:tc>
          <w:tcPr>
            <w:tcW w:w="7716" w:type="dxa"/>
          </w:tcPr>
          <w:p w:rsidR="002B6EE6" w:rsidRPr="002B6EE6" w:rsidRDefault="002B6EE6" w:rsidP="003808AE">
            <w:r w:rsidRPr="002B6EE6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2B6EE6">
              <w:t>вправе заключать договоры по осуществлению организации работ, стоимость,  которых по одному договору не превышает (составляет)</w:t>
            </w:r>
            <w:r>
              <w:t xml:space="preserve"> двадцать пять миллионов рублей).</w:t>
            </w:r>
            <w:r w:rsidRPr="002B6EE6">
              <w:t xml:space="preserve"> </w:t>
            </w:r>
          </w:p>
        </w:tc>
        <w:tc>
          <w:tcPr>
            <w:tcW w:w="1878" w:type="dxa"/>
            <w:vAlign w:val="center"/>
          </w:tcPr>
          <w:p w:rsidR="002B6EE6" w:rsidRPr="000A6198" w:rsidRDefault="002B6EE6" w:rsidP="003808AE">
            <w:pPr>
              <w:jc w:val="center"/>
            </w:pPr>
            <w:r w:rsidRPr="000A6198">
              <w:t>Нет</w:t>
            </w:r>
          </w:p>
        </w:tc>
      </w:tr>
      <w:tr w:rsidR="00C95B2F" w:rsidRPr="004C5D77" w:rsidTr="00EF530A">
        <w:trPr>
          <w:trHeight w:val="274"/>
        </w:trPr>
        <w:tc>
          <w:tcPr>
            <w:tcW w:w="628" w:type="dxa"/>
            <w:tcBorders>
              <w:right w:val="single" w:sz="4" w:space="0" w:color="000000"/>
            </w:tcBorders>
          </w:tcPr>
          <w:p w:rsidR="00C95B2F" w:rsidRDefault="00C95B2F" w:rsidP="00C95B2F">
            <w:r>
              <w:t>2.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C95B2F" w:rsidRPr="00C95B2F" w:rsidRDefault="00C95B2F" w:rsidP="00C95B2F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C95B2F">
              <w:rPr>
                <w:bCs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C95B2F">
              <w:rPr>
                <w:bCs/>
                <w:shd w:val="clear" w:color="auto" w:fill="FFFFFF"/>
              </w:rPr>
              <w:t>Каналсетьпроект</w:t>
            </w:r>
            <w:proofErr w:type="spellEnd"/>
            <w:r w:rsidRPr="00C95B2F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95B2F" w:rsidRPr="00C95B2F" w:rsidRDefault="00C95B2F" w:rsidP="00C95B2F">
            <w:pPr>
              <w:shd w:val="clear" w:color="auto" w:fill="FFFFFF"/>
              <w:spacing w:after="15"/>
              <w:jc w:val="center"/>
            </w:pPr>
            <w:r>
              <w:t xml:space="preserve">№ </w:t>
            </w:r>
            <w:r w:rsidRPr="00C95B2F">
              <w:t>045.0</w:t>
            </w:r>
            <w:r>
              <w:t>4</w:t>
            </w:r>
            <w:r w:rsidRPr="00C95B2F">
              <w:t>-2009-7727225539-П-027</w:t>
            </w:r>
          </w:p>
          <w:p w:rsidR="00C95B2F" w:rsidRPr="002B6EE6" w:rsidRDefault="00C95B2F" w:rsidP="00C95B2F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C95B2F" w:rsidRPr="00C95B2F" w:rsidRDefault="00C95B2F" w:rsidP="00C95B2F">
            <w:pPr>
              <w:contextualSpacing/>
              <w:jc w:val="center"/>
            </w:pPr>
            <w:r w:rsidRPr="00C95B2F">
              <w:t>13.</w:t>
            </w:r>
          </w:p>
        </w:tc>
        <w:tc>
          <w:tcPr>
            <w:tcW w:w="7716" w:type="dxa"/>
          </w:tcPr>
          <w:p w:rsidR="00C95B2F" w:rsidRPr="00C95B2F" w:rsidRDefault="00C95B2F" w:rsidP="00C95B2F">
            <w:r w:rsidRPr="00C95B2F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</w:t>
            </w:r>
            <w:r w:rsidRPr="00C95B2F">
              <w:t>вправе заключать договоры по осуществлению организации работ</w:t>
            </w:r>
            <w:r>
              <w:t xml:space="preserve"> с</w:t>
            </w:r>
            <w:r w:rsidRPr="00C95B2F">
              <w:t>тоимость,  которых по одному договору не превышает (составляет) двадцать пять миллионов рублей</w:t>
            </w:r>
            <w:r>
              <w:t>)</w:t>
            </w:r>
          </w:p>
        </w:tc>
        <w:tc>
          <w:tcPr>
            <w:tcW w:w="1878" w:type="dxa"/>
            <w:vAlign w:val="center"/>
          </w:tcPr>
          <w:p w:rsidR="00C95B2F" w:rsidRPr="005A2C7C" w:rsidRDefault="00C95B2F" w:rsidP="00C95B2F">
            <w:pPr>
              <w:jc w:val="center"/>
            </w:pPr>
            <w:r w:rsidRPr="005A2C7C">
              <w:t>Нет</w:t>
            </w:r>
          </w:p>
        </w:tc>
      </w:tr>
    </w:tbl>
    <w:p w:rsidR="002B6EE6" w:rsidRDefault="002B6EE6" w:rsidP="002B6EE6">
      <w:pPr>
        <w:jc w:val="right"/>
      </w:pPr>
    </w:p>
    <w:p w:rsidR="002B6EE6" w:rsidRDefault="002B6EE6" w:rsidP="002B6EE6">
      <w:pPr>
        <w:jc w:val="right"/>
      </w:pPr>
    </w:p>
    <w:p w:rsidR="002B6EE6" w:rsidRPr="00C75A6D" w:rsidRDefault="002B6EE6" w:rsidP="002B6EE6">
      <w:pPr>
        <w:jc w:val="right"/>
      </w:pPr>
    </w:p>
    <w:p w:rsidR="002B6EE6" w:rsidRDefault="002B6EE6" w:rsidP="002B6EE6"/>
    <w:p w:rsidR="00C13E79" w:rsidRPr="00C75A6D" w:rsidRDefault="00C13E79" w:rsidP="00062432">
      <w:pPr>
        <w:jc w:val="right"/>
      </w:pPr>
      <w:r w:rsidRPr="00C75A6D">
        <w:t>Приложени</w:t>
      </w:r>
      <w:r w:rsidR="00CB272B">
        <w:t>е</w:t>
      </w:r>
      <w:r w:rsidR="00AE04D1">
        <w:t xml:space="preserve"> </w:t>
      </w:r>
      <w:r w:rsidR="002B6EE6">
        <w:t>2</w:t>
      </w:r>
    </w:p>
    <w:p w:rsidR="00B84FFE" w:rsidRDefault="00B84FFE" w:rsidP="00B84FFE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B84FFE" w:rsidRDefault="00B84FFE" w:rsidP="00B84FFE">
      <w:pPr>
        <w:jc w:val="right"/>
      </w:pPr>
      <w:r>
        <w:t>Некоммерческое партнерство проектных организаций</w:t>
      </w:r>
    </w:p>
    <w:p w:rsidR="00B84FFE" w:rsidRPr="00C75A6D" w:rsidRDefault="00E54DDD" w:rsidP="00B84FFE">
      <w:pPr>
        <w:jc w:val="right"/>
      </w:pPr>
      <w:r>
        <w:t>«Межрегиональная</w:t>
      </w:r>
      <w:r w:rsidR="00B84FFE">
        <w:t xml:space="preserve"> </w:t>
      </w:r>
      <w:r>
        <w:t>ассоциация</w:t>
      </w:r>
      <w:r w:rsidR="00B84FFE">
        <w:t xml:space="preserve"> проектировщиков»</w:t>
      </w:r>
    </w:p>
    <w:p w:rsidR="00B84FFE" w:rsidRPr="00C75A6D" w:rsidRDefault="00B84FFE" w:rsidP="00B84FFE">
      <w:pPr>
        <w:jc w:val="right"/>
      </w:pPr>
      <w:r w:rsidRPr="00C75A6D">
        <w:t>«</w:t>
      </w:r>
      <w:r w:rsidR="00BF1D53">
        <w:t>05</w:t>
      </w:r>
      <w:r w:rsidRPr="00C75A6D">
        <w:t xml:space="preserve">» </w:t>
      </w:r>
      <w:r w:rsidR="00F36880">
        <w:t>марта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 w:rsidR="00AC0B7D">
        <w:t>8</w:t>
      </w:r>
      <w:r w:rsidRPr="001668DD">
        <w:t>(03</w:t>
      </w:r>
      <w:r w:rsidR="00AC0B7D">
        <w:t>8</w:t>
      </w:r>
      <w:r w:rsidRPr="001668DD">
        <w:t>)-2011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34"/>
        <w:gridCol w:w="1544"/>
        <w:gridCol w:w="1097"/>
        <w:gridCol w:w="826"/>
        <w:gridCol w:w="7034"/>
        <w:gridCol w:w="1907"/>
      </w:tblGrid>
      <w:tr w:rsidR="00AC0B7D" w:rsidRPr="004C5D77" w:rsidTr="007C0F5F">
        <w:tc>
          <w:tcPr>
            <w:tcW w:w="526" w:type="dxa"/>
          </w:tcPr>
          <w:p w:rsidR="00AC0B7D" w:rsidRPr="004C5D77" w:rsidRDefault="00AC0B7D" w:rsidP="007C0F5F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134" w:type="dxa"/>
          </w:tcPr>
          <w:p w:rsidR="00AC0B7D" w:rsidRPr="004C5D77" w:rsidRDefault="00AC0B7D" w:rsidP="007C0F5F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544" w:type="dxa"/>
          </w:tcPr>
          <w:p w:rsidR="00AC0B7D" w:rsidRPr="00403B4E" w:rsidRDefault="00AC0B7D" w:rsidP="007C0F5F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AC0B7D" w:rsidRPr="0029653F" w:rsidRDefault="00AC0B7D" w:rsidP="007C0F5F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AC0B7D" w:rsidRPr="00403B4E" w:rsidRDefault="00AC0B7D" w:rsidP="007C0F5F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AC0B7D" w:rsidRPr="004C5D77" w:rsidRDefault="00AC0B7D" w:rsidP="007C0F5F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AC0B7D" w:rsidRPr="004C5D77" w:rsidRDefault="00AC0B7D" w:rsidP="007C0F5F">
            <w:pPr>
              <w:ind w:left="-534"/>
              <w:contextualSpacing/>
              <w:jc w:val="center"/>
            </w:pPr>
          </w:p>
          <w:p w:rsidR="00AC0B7D" w:rsidRPr="004C5D77" w:rsidRDefault="00AC0B7D" w:rsidP="007C0F5F">
            <w:pPr>
              <w:contextualSpacing/>
              <w:jc w:val="center"/>
            </w:pPr>
          </w:p>
          <w:p w:rsidR="00AC0B7D" w:rsidRPr="004C5D77" w:rsidRDefault="00AC0B7D" w:rsidP="007C0F5F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AC0B7D" w:rsidRPr="004C5D77" w:rsidRDefault="00AC0B7D" w:rsidP="007C0F5F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C0B7D" w:rsidRPr="004C5D77" w:rsidTr="007C0F5F">
        <w:tc>
          <w:tcPr>
            <w:tcW w:w="526" w:type="dxa"/>
            <w:vMerge w:val="restart"/>
          </w:tcPr>
          <w:p w:rsidR="00AC0B7D" w:rsidRPr="004C5D77" w:rsidRDefault="00AC0B7D" w:rsidP="00AC0B7D">
            <w:pPr>
              <w:jc w:val="center"/>
            </w:pPr>
            <w:r>
              <w:t>1</w:t>
            </w:r>
          </w:p>
        </w:tc>
        <w:tc>
          <w:tcPr>
            <w:tcW w:w="2134" w:type="dxa"/>
            <w:vMerge w:val="restart"/>
          </w:tcPr>
          <w:p w:rsidR="00AC0B7D" w:rsidRPr="004C5D77" w:rsidRDefault="00AC0B7D" w:rsidP="00AC0B7D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Инжситиком</w:t>
            </w:r>
            <w:proofErr w:type="spellEnd"/>
            <w:r>
              <w:t>»</w:t>
            </w:r>
          </w:p>
        </w:tc>
        <w:tc>
          <w:tcPr>
            <w:tcW w:w="1544" w:type="dxa"/>
            <w:vMerge w:val="restart"/>
          </w:tcPr>
          <w:p w:rsidR="00AC0B7D" w:rsidRPr="00403B4E" w:rsidRDefault="00AC0B7D" w:rsidP="00AC0B7D">
            <w:pPr>
              <w:spacing w:line="360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Рябушенко</w:t>
            </w:r>
            <w:proofErr w:type="spellEnd"/>
            <w:r>
              <w:rPr>
                <w:spacing w:val="-6"/>
              </w:rPr>
              <w:t xml:space="preserve"> Александр Сергеевич</w:t>
            </w:r>
          </w:p>
        </w:tc>
        <w:tc>
          <w:tcPr>
            <w:tcW w:w="1097" w:type="dxa"/>
            <w:vMerge w:val="restart"/>
          </w:tcPr>
          <w:p w:rsidR="00AC0B7D" w:rsidRPr="00403B4E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1117746048177</w:t>
            </w: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1.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  <w:rPr>
                <w:bCs/>
              </w:rPr>
            </w:pPr>
            <w:r w:rsidRPr="00AC0B7D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AC0B7D" w:rsidRPr="00AC0B7D" w:rsidRDefault="00AC0B7D" w:rsidP="00AC0B7D">
            <w:pPr>
              <w:contextualSpacing/>
              <w:jc w:val="center"/>
            </w:pP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1.2.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1.3.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 xml:space="preserve">Работы по подготовке </w:t>
            </w:r>
            <w:proofErr w:type="gramStart"/>
            <w:r w:rsidRPr="00AC0B7D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2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архитектурных решений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3.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конструктивных решений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4.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4.1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C0B7D">
              <w:t>противодымной</w:t>
            </w:r>
            <w:proofErr w:type="spellEnd"/>
            <w:r w:rsidRPr="00AC0B7D">
              <w:t xml:space="preserve"> вентиляции, теплоснабжения и холодоснабжения.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4.2.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5.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5.1.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5.2.</w:t>
            </w:r>
          </w:p>
        </w:tc>
        <w:tc>
          <w:tcPr>
            <w:tcW w:w="7034" w:type="dxa"/>
          </w:tcPr>
          <w:p w:rsidR="00AC0B7D" w:rsidRPr="00AC0B7D" w:rsidRDefault="00AC0B7D" w:rsidP="00AC0B7D">
            <w:pPr>
              <w:jc w:val="both"/>
            </w:pPr>
            <w:r w:rsidRPr="00AC0B7D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  <w:tr w:rsidR="00AC0B7D" w:rsidRPr="004C5D77" w:rsidTr="0031694D">
        <w:tc>
          <w:tcPr>
            <w:tcW w:w="526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2134" w:type="dxa"/>
            <w:vMerge/>
          </w:tcPr>
          <w:p w:rsidR="00AC0B7D" w:rsidRDefault="00AC0B7D" w:rsidP="00AC0B7D">
            <w:pPr>
              <w:jc w:val="center"/>
            </w:pPr>
          </w:p>
        </w:tc>
        <w:tc>
          <w:tcPr>
            <w:tcW w:w="1544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C0B7D" w:rsidRDefault="00AC0B7D" w:rsidP="00AC0B7D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C0B7D" w:rsidRPr="00AC0B7D" w:rsidRDefault="00AC0B7D" w:rsidP="00AC0B7D">
            <w:pPr>
              <w:contextualSpacing/>
              <w:jc w:val="center"/>
            </w:pPr>
            <w:r w:rsidRPr="00AC0B7D">
              <w:t>13.</w:t>
            </w:r>
          </w:p>
        </w:tc>
        <w:tc>
          <w:tcPr>
            <w:tcW w:w="7034" w:type="dxa"/>
          </w:tcPr>
          <w:p w:rsidR="003214A2" w:rsidRPr="003214A2" w:rsidRDefault="00AC0B7D" w:rsidP="003214A2">
            <w:proofErr w:type="gramStart"/>
            <w:r w:rsidRPr="00AC0B7D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3214A2">
              <w:t xml:space="preserve"> (</w:t>
            </w:r>
            <w:r w:rsidR="003214A2" w:rsidRPr="003214A2">
              <w:t xml:space="preserve">вправе заключать договоры по осуществлению организации работ, </w:t>
            </w:r>
            <w:proofErr w:type="gramEnd"/>
          </w:p>
          <w:p w:rsidR="00AC0B7D" w:rsidRPr="00AC0B7D" w:rsidRDefault="003214A2" w:rsidP="003214A2">
            <w:r w:rsidRPr="003214A2">
              <w:t>стоимость,  которых по одному договору не превышает (составляе</w:t>
            </w:r>
            <w:r>
              <w:t>т) пять миллионов рублей)</w:t>
            </w:r>
          </w:p>
        </w:tc>
        <w:tc>
          <w:tcPr>
            <w:tcW w:w="1907" w:type="dxa"/>
            <w:vAlign w:val="center"/>
          </w:tcPr>
          <w:p w:rsidR="00AC0B7D" w:rsidRPr="00AC0B7D" w:rsidRDefault="00AC0B7D" w:rsidP="00AC0B7D">
            <w:pPr>
              <w:jc w:val="center"/>
            </w:pPr>
            <w:r w:rsidRPr="00AC0B7D">
              <w:t>Нет</w:t>
            </w:r>
          </w:p>
        </w:tc>
      </w:tr>
    </w:tbl>
    <w:p w:rsidR="00926692" w:rsidRPr="00204EF4" w:rsidRDefault="00926692" w:rsidP="000811B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CD" w:rsidRDefault="004911CD" w:rsidP="008119C4">
      <w:r>
        <w:separator/>
      </w:r>
    </w:p>
  </w:endnote>
  <w:endnote w:type="continuationSeparator" w:id="0">
    <w:p w:rsidR="004911CD" w:rsidRDefault="004911CD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962E6B">
        <w:pPr>
          <w:pStyle w:val="af0"/>
          <w:jc w:val="right"/>
        </w:pPr>
        <w:fldSimple w:instr=" PAGE   \* MERGEFORMAT ">
          <w:r w:rsidR="00BF1D53">
            <w:rPr>
              <w:noProof/>
            </w:rPr>
            <w:t>5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CD" w:rsidRDefault="004911CD" w:rsidP="008119C4">
      <w:r>
        <w:separator/>
      </w:r>
    </w:p>
  </w:footnote>
  <w:footnote w:type="continuationSeparator" w:id="0">
    <w:p w:rsidR="004911CD" w:rsidRDefault="004911CD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8"/>
  </w:num>
  <w:num w:numId="16">
    <w:abstractNumId w:val="6"/>
  </w:num>
  <w:num w:numId="17">
    <w:abstractNumId w:val="18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811B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7511"/>
    <w:rsid w:val="002D3AAA"/>
    <w:rsid w:val="002D46D1"/>
    <w:rsid w:val="002D5DEE"/>
    <w:rsid w:val="002E18ED"/>
    <w:rsid w:val="002E3CD0"/>
    <w:rsid w:val="002F1253"/>
    <w:rsid w:val="0030153B"/>
    <w:rsid w:val="00303016"/>
    <w:rsid w:val="00306F4C"/>
    <w:rsid w:val="003117CD"/>
    <w:rsid w:val="003164FB"/>
    <w:rsid w:val="003206CB"/>
    <w:rsid w:val="003214A2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7397"/>
    <w:rsid w:val="003E7409"/>
    <w:rsid w:val="003F2A5D"/>
    <w:rsid w:val="003F4223"/>
    <w:rsid w:val="003F44D5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80D"/>
    <w:rsid w:val="004B35B6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48B3"/>
    <w:rsid w:val="006F4D74"/>
    <w:rsid w:val="006F5EF6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2CE6"/>
    <w:rsid w:val="00783920"/>
    <w:rsid w:val="00790DE2"/>
    <w:rsid w:val="007A477A"/>
    <w:rsid w:val="007A5056"/>
    <w:rsid w:val="007A74FF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3B68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E6BC2"/>
    <w:rsid w:val="008F0AD6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2E6B"/>
    <w:rsid w:val="00963192"/>
    <w:rsid w:val="00965538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53"/>
    <w:rsid w:val="00BF1DE6"/>
    <w:rsid w:val="00BF23E4"/>
    <w:rsid w:val="00BF2DC4"/>
    <w:rsid w:val="00BF47BB"/>
    <w:rsid w:val="00BF6BC6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9159D"/>
    <w:rsid w:val="00C95B2F"/>
    <w:rsid w:val="00C97165"/>
    <w:rsid w:val="00C978F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50CB"/>
    <w:rsid w:val="00CF074C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06A79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F10E-6739-4010-ACFF-887B3F3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Сахидова</cp:lastModifiedBy>
  <cp:revision>3</cp:revision>
  <cp:lastPrinted>2011-02-16T07:44:00Z</cp:lastPrinted>
  <dcterms:created xsi:type="dcterms:W3CDTF">2018-05-16T08:27:00Z</dcterms:created>
  <dcterms:modified xsi:type="dcterms:W3CDTF">2018-05-16T08:28:00Z</dcterms:modified>
</cp:coreProperties>
</file>