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C351AD">
        <w:rPr>
          <w:b/>
          <w:sz w:val="28"/>
          <w:szCs w:val="28"/>
        </w:rPr>
        <w:t>010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C351AD">
        <w:rPr>
          <w:b/>
          <w:sz w:val="28"/>
          <w:szCs w:val="28"/>
        </w:rPr>
        <w:t>40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3E7136">
        <w:rPr>
          <w:sz w:val="28"/>
          <w:szCs w:val="28"/>
        </w:rPr>
        <w:t>25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F36880">
        <w:rPr>
          <w:sz w:val="28"/>
          <w:szCs w:val="28"/>
        </w:rPr>
        <w:t>марта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08219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</w:t>
      </w:r>
      <w:r w:rsidR="00C351AD">
        <w:rPr>
          <w:sz w:val="28"/>
          <w:szCs w:val="28"/>
        </w:rPr>
        <w:t>равового управления Малахова Павла Васильевича.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6F5EF6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F4F13" w:rsidRPr="006F5EF6" w:rsidRDefault="004F4F13" w:rsidP="002B6EE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2B6EE6" w:rsidRPr="006F5EF6" w:rsidRDefault="002B6EE6" w:rsidP="002B6EE6">
      <w:pPr>
        <w:ind w:firstLine="709"/>
        <w:jc w:val="both"/>
        <w:rPr>
          <w:sz w:val="28"/>
          <w:szCs w:val="28"/>
        </w:rPr>
      </w:pPr>
      <w:r w:rsidRPr="006F5EF6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4F4F13" w:rsidRDefault="004F4F13" w:rsidP="004B35B6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4B35B6">
      <w:pPr>
        <w:ind w:firstLine="709"/>
        <w:jc w:val="both"/>
        <w:rPr>
          <w:sz w:val="28"/>
          <w:szCs w:val="28"/>
        </w:rPr>
      </w:pPr>
    </w:p>
    <w:p w:rsidR="007D5084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4B35B6">
      <w:pPr>
        <w:ind w:firstLine="709"/>
        <w:jc w:val="both"/>
        <w:rPr>
          <w:sz w:val="28"/>
          <w:szCs w:val="28"/>
        </w:rPr>
      </w:pPr>
    </w:p>
    <w:p w:rsidR="00506D1E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Pr="002B6EE6" w:rsidRDefault="002B6EE6" w:rsidP="00C351AD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 xml:space="preserve">2. По второму вопросу слушали </w:t>
      </w:r>
      <w:r w:rsidR="00C351AD">
        <w:rPr>
          <w:sz w:val="28"/>
          <w:szCs w:val="28"/>
        </w:rPr>
        <w:t>руководителя Правового управления Малахова П.В.</w:t>
      </w:r>
      <w:r w:rsidRPr="002B6EE6">
        <w:rPr>
          <w:sz w:val="28"/>
          <w:szCs w:val="28"/>
        </w:rPr>
        <w:t xml:space="preserve"> о поступивш</w:t>
      </w:r>
      <w:r w:rsidR="00C95B2F">
        <w:rPr>
          <w:sz w:val="28"/>
          <w:szCs w:val="28"/>
        </w:rPr>
        <w:t>их</w:t>
      </w:r>
      <w:r w:rsidRPr="002B6EE6">
        <w:rPr>
          <w:sz w:val="28"/>
          <w:szCs w:val="28"/>
        </w:rPr>
        <w:t xml:space="preserve"> заявлени</w:t>
      </w:r>
      <w:r w:rsidR="00C95B2F">
        <w:rPr>
          <w:sz w:val="28"/>
          <w:szCs w:val="28"/>
        </w:rPr>
        <w:t>ях</w:t>
      </w:r>
      <w:r w:rsidRPr="002B6EE6">
        <w:rPr>
          <w:sz w:val="28"/>
          <w:szCs w:val="28"/>
        </w:rPr>
        <w:t xml:space="preserve"> член</w:t>
      </w:r>
      <w:r w:rsidR="00C95B2F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предоставлено свидетельство о допуске Партнерства.</w:t>
      </w: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t>Постановили:</w:t>
      </w: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2B6EE6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>На основании заявлени</w:t>
      </w:r>
      <w:r w:rsidR="00C95B2F">
        <w:rPr>
          <w:sz w:val="28"/>
          <w:szCs w:val="28"/>
        </w:rPr>
        <w:t>й</w:t>
      </w:r>
      <w:r w:rsidRPr="002B6EE6">
        <w:rPr>
          <w:sz w:val="28"/>
          <w:szCs w:val="28"/>
        </w:rPr>
        <w:t xml:space="preserve"> член</w:t>
      </w:r>
      <w:r w:rsidR="00C95B2F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C95B2F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B6E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6EE6">
        <w:rPr>
          <w:sz w:val="28"/>
          <w:szCs w:val="28"/>
        </w:rPr>
        <w:t xml:space="preserve">, внести изменения в </w:t>
      </w:r>
      <w:r w:rsidR="00C95B2F" w:rsidRPr="002B6EE6">
        <w:rPr>
          <w:sz w:val="28"/>
          <w:szCs w:val="28"/>
        </w:rPr>
        <w:t>действующи</w:t>
      </w:r>
      <w:r w:rsidR="00C95B2F">
        <w:rPr>
          <w:sz w:val="28"/>
          <w:szCs w:val="28"/>
        </w:rPr>
        <w:t xml:space="preserve">е </w:t>
      </w:r>
      <w:r w:rsidRPr="002B6EE6">
        <w:rPr>
          <w:sz w:val="28"/>
          <w:szCs w:val="28"/>
        </w:rPr>
        <w:t>Свидетельств</w:t>
      </w:r>
      <w:r w:rsidR="00C95B2F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</w:p>
    <w:p w:rsidR="002B6EE6" w:rsidRPr="00F818DA" w:rsidRDefault="002B6EE6" w:rsidP="004B35B6">
      <w:pPr>
        <w:ind w:firstLine="709"/>
        <w:jc w:val="both"/>
        <w:rPr>
          <w:sz w:val="28"/>
          <w:szCs w:val="28"/>
        </w:rPr>
      </w:pPr>
    </w:p>
    <w:p w:rsidR="006F5EF6" w:rsidRDefault="006F5EF6" w:rsidP="006F5EF6">
      <w:pPr>
        <w:jc w:val="both"/>
        <w:rPr>
          <w:sz w:val="28"/>
          <w:szCs w:val="28"/>
        </w:rPr>
      </w:pPr>
    </w:p>
    <w:p w:rsidR="00FB4B7E" w:rsidRPr="00677205" w:rsidRDefault="00FB4B7E" w:rsidP="007163BD">
      <w:pPr>
        <w:jc w:val="both"/>
        <w:rPr>
          <w:b/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64565" w:rsidRDefault="00C64565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3E7136">
        <w:t>25</w:t>
      </w:r>
      <w:r w:rsidRPr="00C75A6D">
        <w:t xml:space="preserve">» </w:t>
      </w:r>
      <w:r>
        <w:t>марта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 w:rsidR="00C351AD">
        <w:t>010</w:t>
      </w:r>
      <w:r w:rsidRPr="001668DD">
        <w:t>(0</w:t>
      </w:r>
      <w:r w:rsidR="00C351AD">
        <w:t>40</w:t>
      </w:r>
      <w:r w:rsidRPr="001668DD">
        <w:t>)-2011</w:t>
      </w:r>
    </w:p>
    <w:p w:rsidR="005A6868" w:rsidRDefault="005A6868" w:rsidP="006F5EF6">
      <w:pPr>
        <w:jc w:val="right"/>
      </w:pPr>
    </w:p>
    <w:p w:rsidR="005A6868" w:rsidRDefault="005A6868" w:rsidP="006F5EF6">
      <w:pPr>
        <w:jc w:val="right"/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B6EE6" w:rsidRPr="004C5D77" w:rsidTr="003808AE">
        <w:trPr>
          <w:trHeight w:val="3961"/>
        </w:trPr>
        <w:tc>
          <w:tcPr>
            <w:tcW w:w="628" w:type="dxa"/>
          </w:tcPr>
          <w:p w:rsidR="002B6EE6" w:rsidRPr="004C5D77" w:rsidRDefault="002B6EE6" w:rsidP="003808AE">
            <w:pPr>
              <w:jc w:val="center"/>
            </w:pPr>
            <w:r w:rsidRPr="004C5D77">
              <w:t>№ п/п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B6EE6" w:rsidRPr="00DD230C" w:rsidRDefault="002B6EE6" w:rsidP="003808AE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B6EE6" w:rsidRPr="00DD230C" w:rsidRDefault="002B6EE6" w:rsidP="003808AE">
            <w:pPr>
              <w:ind w:left="-534"/>
              <w:contextualSpacing/>
              <w:jc w:val="center"/>
            </w:pPr>
          </w:p>
          <w:p w:rsidR="002B6EE6" w:rsidRPr="00DD230C" w:rsidRDefault="002B6EE6" w:rsidP="003808AE">
            <w:pPr>
              <w:contextualSpacing/>
              <w:jc w:val="center"/>
            </w:pPr>
          </w:p>
          <w:p w:rsidR="002B6EE6" w:rsidRPr="00DD230C" w:rsidRDefault="002B6EE6" w:rsidP="003808AE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B6EE6" w:rsidRPr="004C5D77" w:rsidRDefault="002B6EE6" w:rsidP="003808AE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C351AD" w:rsidRDefault="00C351AD" w:rsidP="003808AE">
            <w:r>
              <w:t>1.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AD" w:rsidRPr="00F1528B" w:rsidRDefault="00F1528B" w:rsidP="003808AE">
            <w:pPr>
              <w:shd w:val="clear" w:color="auto" w:fill="FFFFFF"/>
              <w:spacing w:after="15"/>
              <w:jc w:val="center"/>
            </w:pPr>
            <w:r w:rsidRPr="00F1528B">
              <w:rPr>
                <w:bCs/>
              </w:rPr>
              <w:t>Закрытое акционерное общество «Ремстрой-Алексс»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F1528B" w:rsidP="00C351AD">
            <w:pPr>
              <w:shd w:val="clear" w:color="auto" w:fill="FFFFFF"/>
              <w:spacing w:after="15"/>
              <w:jc w:val="center"/>
            </w:pPr>
            <w:r w:rsidRPr="00F1528B">
              <w:t>№ 090.02-2009-7713161050-П-027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1.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contextualSpacing/>
            </w:pPr>
            <w:r w:rsidRPr="00C351AD">
              <w:t>Работы по подготовке схемы планировочной организации земельного участка</w:t>
            </w:r>
          </w:p>
        </w:tc>
        <w:tc>
          <w:tcPr>
            <w:tcW w:w="1878" w:type="dxa"/>
          </w:tcPr>
          <w:p w:rsidR="00C351AD" w:rsidRPr="00C351AD" w:rsidRDefault="00C351AD" w:rsidP="003F51A9">
            <w:pPr>
              <w:contextualSpacing/>
              <w:jc w:val="center"/>
            </w:pP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1.1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contextualSpacing/>
            </w:pPr>
            <w:r w:rsidRPr="00C351AD"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1.2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contextualSpacing/>
            </w:pPr>
            <w:r w:rsidRPr="00C351AD">
              <w:t>Работы по подготовке схемы планировоной организации трассы линейного объекта</w:t>
            </w:r>
          </w:p>
        </w:tc>
        <w:tc>
          <w:tcPr>
            <w:tcW w:w="1878" w:type="dxa"/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1.3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contextualSpacing/>
            </w:pPr>
            <w:r w:rsidRPr="00C351AD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2.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contextualSpacing/>
            </w:pPr>
            <w:r w:rsidRPr="00C351AD"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3.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конструктивных решений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4.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 xml:space="preserve">Работы по подготовке сведений о внутреннем инженерном </w:t>
            </w:r>
            <w:r w:rsidRPr="00C351AD">
              <w:lastRenderedPageBreak/>
              <w:t>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4.1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4.2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4.5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5.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5.6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6.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технологических решений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6.1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6.2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6.3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6.7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6.11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технологических решений объектов военной инфраструктуры  и их комплексов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10.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11.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9B1F8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12.</w:t>
            </w:r>
          </w:p>
        </w:tc>
        <w:tc>
          <w:tcPr>
            <w:tcW w:w="7716" w:type="dxa"/>
          </w:tcPr>
          <w:p w:rsidR="00C351AD" w:rsidRPr="00C351AD" w:rsidRDefault="00C351AD" w:rsidP="003F51A9">
            <w:pPr>
              <w:jc w:val="both"/>
            </w:pPr>
            <w:r w:rsidRPr="00C351AD"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C351AD" w:rsidRPr="004C5D77" w:rsidTr="00F1528B">
        <w:trPr>
          <w:trHeight w:val="1626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C351AD" w:rsidRDefault="00C351AD" w:rsidP="003808AE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2B6EE6" w:rsidRDefault="00C351AD" w:rsidP="003808AE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1AD" w:rsidRPr="00EB3815" w:rsidRDefault="00C351AD" w:rsidP="00C351AD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351AD" w:rsidRPr="00C351AD" w:rsidRDefault="00C351AD" w:rsidP="003F51A9">
            <w:pPr>
              <w:contextualSpacing/>
              <w:jc w:val="center"/>
            </w:pPr>
            <w:r w:rsidRPr="00C351AD">
              <w:t>13.</w:t>
            </w:r>
          </w:p>
        </w:tc>
        <w:tc>
          <w:tcPr>
            <w:tcW w:w="7716" w:type="dxa"/>
          </w:tcPr>
          <w:p w:rsidR="00C351AD" w:rsidRPr="00C351AD" w:rsidRDefault="00C351AD" w:rsidP="003F51A9">
            <w:r w:rsidRPr="00C351AD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</w:t>
            </w:r>
            <w:r w:rsidRPr="00C351AD">
              <w:t>Стоимость работ по одному договору не должна превышать пяти миллионов рублей</w:t>
            </w:r>
            <w:r>
              <w:t>).</w:t>
            </w:r>
          </w:p>
        </w:tc>
        <w:tc>
          <w:tcPr>
            <w:tcW w:w="1878" w:type="dxa"/>
            <w:vAlign w:val="center"/>
          </w:tcPr>
          <w:p w:rsidR="00C351AD" w:rsidRPr="00C351AD" w:rsidRDefault="00C351AD" w:rsidP="003F51A9">
            <w:pPr>
              <w:jc w:val="center"/>
            </w:pPr>
            <w:r w:rsidRPr="00C351AD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F1528B" w:rsidRDefault="00F1528B" w:rsidP="00F1528B">
            <w:r>
              <w:t>2.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528B" w:rsidRPr="00082193" w:rsidRDefault="00082193" w:rsidP="00F1528B">
            <w:pPr>
              <w:shd w:val="clear" w:color="auto" w:fill="FFFFFF"/>
              <w:spacing w:after="15"/>
              <w:jc w:val="center"/>
            </w:pPr>
            <w:r w:rsidRPr="00082193">
              <w:rPr>
                <w:bCs/>
                <w:shd w:val="clear" w:color="auto" w:fill="FFFFFF"/>
              </w:rPr>
              <w:t xml:space="preserve">Общество с ограниченной ответственностью </w:t>
            </w:r>
            <w:r w:rsidR="00287322">
              <w:rPr>
                <w:bCs/>
                <w:shd w:val="clear" w:color="auto" w:fill="FFFFFF"/>
              </w:rPr>
              <w:t>"РЕМОНТНО-СТРОИТЕЛЬНАЯ К</w:t>
            </w:r>
            <w:r w:rsidRPr="00082193">
              <w:rPr>
                <w:bCs/>
                <w:shd w:val="clear" w:color="auto" w:fill="FFFFFF"/>
              </w:rPr>
              <w:t>ОМПАНИЯ-РСК"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  <w:r w:rsidRPr="00F1528B">
              <w:t>№ 103.02-2010-7703298506 -П-027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1.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  <w:rPr>
                <w:bCs/>
              </w:rPr>
            </w:pPr>
            <w:r w:rsidRPr="00F1528B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F1528B" w:rsidRPr="005A2C7C" w:rsidRDefault="00F1528B" w:rsidP="00F1528B">
            <w:pPr>
              <w:contextualSpacing/>
              <w:jc w:val="center"/>
            </w:pP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1.1.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генерального плана земельного участка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1.2.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1.3.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3.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конструктивных решений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4.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4.1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4.2.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4.5.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5.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5.1.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5.2.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5.6.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6.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технологических решений: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6.1.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 xml:space="preserve">Работы по подготовке технологических решений жилых зданий и их </w:t>
            </w:r>
            <w:r w:rsidRPr="00F1528B">
              <w:lastRenderedPageBreak/>
              <w:t>комплексов</w:t>
            </w:r>
          </w:p>
        </w:tc>
        <w:tc>
          <w:tcPr>
            <w:tcW w:w="1878" w:type="dxa"/>
            <w:vAlign w:val="center"/>
          </w:tcPr>
          <w:p w:rsidR="00F1528B" w:rsidRPr="00274183" w:rsidRDefault="00F1528B" w:rsidP="00F1528B">
            <w:pPr>
              <w:jc w:val="center"/>
            </w:pPr>
            <w:r>
              <w:lastRenderedPageBreak/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6.2.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  <w:vAlign w:val="center"/>
          </w:tcPr>
          <w:p w:rsidR="00F1528B" w:rsidRPr="00274183" w:rsidRDefault="00F1528B" w:rsidP="00F1528B">
            <w:pPr>
              <w:jc w:val="center"/>
            </w:pPr>
            <w:r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6.3.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 xml:space="preserve">Работы по подготовке технологических решений производственных зданий и сооружений и их </w:t>
            </w:r>
          </w:p>
        </w:tc>
        <w:tc>
          <w:tcPr>
            <w:tcW w:w="1878" w:type="dxa"/>
            <w:vAlign w:val="center"/>
          </w:tcPr>
          <w:p w:rsidR="00F1528B" w:rsidRPr="00274183" w:rsidRDefault="00F1528B" w:rsidP="00F1528B">
            <w:pPr>
              <w:jc w:val="center"/>
            </w:pPr>
            <w:r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6.4.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11.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12.</w:t>
            </w:r>
          </w:p>
        </w:tc>
        <w:tc>
          <w:tcPr>
            <w:tcW w:w="7716" w:type="dxa"/>
          </w:tcPr>
          <w:p w:rsidR="00F1528B" w:rsidRPr="00F1528B" w:rsidRDefault="00F1528B" w:rsidP="00F1528B">
            <w:pPr>
              <w:jc w:val="both"/>
            </w:pPr>
            <w:r w:rsidRPr="00F1528B">
              <w:t xml:space="preserve">Работы по обследованию строительных конструкций зданий и сооружений 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1C2A39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2B6EE6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EB3815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F1528B">
            <w:pPr>
              <w:contextualSpacing/>
              <w:jc w:val="center"/>
            </w:pPr>
            <w:r w:rsidRPr="00F1528B">
              <w:t>13.</w:t>
            </w:r>
          </w:p>
        </w:tc>
        <w:tc>
          <w:tcPr>
            <w:tcW w:w="7716" w:type="dxa"/>
          </w:tcPr>
          <w:p w:rsidR="00F1528B" w:rsidRPr="00F1528B" w:rsidRDefault="00F1528B" w:rsidP="00F1528B">
            <w:r w:rsidRPr="00F1528B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</w:t>
            </w:r>
            <w:r w:rsidRPr="00F1528B">
              <w:t>вправе заключать договоры по осуществлению организации работ</w:t>
            </w:r>
            <w:r>
              <w:t xml:space="preserve"> </w:t>
            </w:r>
            <w:r w:rsidRPr="00F1528B">
              <w:t>стоимость,  которых по одному договору не превышает (составляет) пяти миллионов рублей</w:t>
            </w:r>
            <w:r>
              <w:t>)</w:t>
            </w:r>
          </w:p>
        </w:tc>
        <w:tc>
          <w:tcPr>
            <w:tcW w:w="1878" w:type="dxa"/>
            <w:vAlign w:val="center"/>
          </w:tcPr>
          <w:p w:rsidR="00F1528B" w:rsidRPr="005A2C7C" w:rsidRDefault="00F1528B" w:rsidP="00F1528B">
            <w:pPr>
              <w:jc w:val="center"/>
            </w:pPr>
            <w:r w:rsidRPr="005A2C7C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F1528B" w:rsidRDefault="00F1528B" w:rsidP="00F1528B">
            <w:r>
              <w:t>3.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  <w:r w:rsidRPr="00F1528B">
              <w:rPr>
                <w:bCs/>
                <w:shd w:val="clear" w:color="auto" w:fill="FFFFFF"/>
              </w:rPr>
              <w:t>Общество с ограниченной ответственностью «ДОРКОМИНЖ»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528B" w:rsidRDefault="00F1528B" w:rsidP="00F1528B">
            <w:pPr>
              <w:shd w:val="clear" w:color="auto" w:fill="FFFFFF"/>
              <w:spacing w:after="15"/>
              <w:jc w:val="center"/>
            </w:pPr>
            <w:r w:rsidRPr="00F1528B">
              <w:t>№ 014.02-2009-7707673116-П-027</w:t>
            </w:r>
          </w:p>
          <w:p w:rsidR="00F1528B" w:rsidRPr="00F1528B" w:rsidRDefault="00F1528B" w:rsidP="00F1528B">
            <w:pPr>
              <w:tabs>
                <w:tab w:val="left" w:pos="1280"/>
              </w:tabs>
            </w:pPr>
            <w:r>
              <w:tab/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1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  <w:rPr>
                <w:bCs/>
              </w:rPr>
            </w:pPr>
            <w:r w:rsidRPr="00F1528B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F1528B" w:rsidRPr="000A6198" w:rsidRDefault="00F1528B" w:rsidP="00ED17D4">
            <w:pPr>
              <w:contextualSpacing/>
              <w:jc w:val="center"/>
            </w:pP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1.2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  <w:r w:rsidRPr="000A6198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1.3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  <w:r w:rsidRPr="000A6198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2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архитектурных решений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  <w:r w:rsidRPr="000A6198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3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конструктивных решений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  <w:r w:rsidRPr="000A6198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4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4.1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  <w:r w:rsidRPr="000A6198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4.2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  <w:r w:rsidRPr="000A6198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4.5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 xml:space="preserve">Работы по подготовке проектов внутренних диспетчеризации, </w:t>
            </w:r>
            <w:r w:rsidRPr="00F1528B">
              <w:lastRenderedPageBreak/>
              <w:t>автоматизации и управления инженерными системами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  <w:r w:rsidRPr="000A6198">
              <w:lastRenderedPageBreak/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5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5.1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  <w:vAlign w:val="center"/>
          </w:tcPr>
          <w:p w:rsidR="00F1528B" w:rsidRPr="003161E4" w:rsidRDefault="00F1528B" w:rsidP="00ED17D4">
            <w:pPr>
              <w:jc w:val="center"/>
            </w:pPr>
            <w:r w:rsidRPr="003161E4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5.2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  <w:r w:rsidRPr="000A6198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6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технологических решений</w:t>
            </w:r>
          </w:p>
        </w:tc>
        <w:tc>
          <w:tcPr>
            <w:tcW w:w="1878" w:type="dxa"/>
            <w:vAlign w:val="center"/>
          </w:tcPr>
          <w:p w:rsidR="00F1528B" w:rsidRPr="000A6198" w:rsidRDefault="00F1528B" w:rsidP="00ED17D4">
            <w:pPr>
              <w:jc w:val="center"/>
            </w:pP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6.1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  <w:vAlign w:val="center"/>
          </w:tcPr>
          <w:p w:rsidR="00F1528B" w:rsidRPr="00796F8E" w:rsidRDefault="00F1528B" w:rsidP="00ED17D4">
            <w:pPr>
              <w:jc w:val="center"/>
            </w:pPr>
            <w:r w:rsidRPr="00796F8E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6.2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технологических решений общественных  зданий и сооружений и их комплексов</w:t>
            </w:r>
          </w:p>
        </w:tc>
        <w:tc>
          <w:tcPr>
            <w:tcW w:w="1878" w:type="dxa"/>
            <w:vAlign w:val="center"/>
          </w:tcPr>
          <w:p w:rsidR="00F1528B" w:rsidRPr="00796F8E" w:rsidRDefault="00F1528B" w:rsidP="00ED17D4">
            <w:pPr>
              <w:jc w:val="center"/>
            </w:pPr>
            <w:r w:rsidRPr="00796F8E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6.3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технологических решений производственных зданий и их комплексов</w:t>
            </w:r>
          </w:p>
        </w:tc>
        <w:tc>
          <w:tcPr>
            <w:tcW w:w="1878" w:type="dxa"/>
            <w:vAlign w:val="center"/>
          </w:tcPr>
          <w:p w:rsidR="00F1528B" w:rsidRPr="00796F8E" w:rsidRDefault="00F1528B" w:rsidP="00ED17D4">
            <w:pPr>
              <w:jc w:val="center"/>
            </w:pPr>
            <w:r w:rsidRPr="00796F8E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9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  <w:vAlign w:val="center"/>
          </w:tcPr>
          <w:p w:rsidR="00F1528B" w:rsidRPr="00796F8E" w:rsidRDefault="00F1528B" w:rsidP="00ED17D4">
            <w:pPr>
              <w:jc w:val="center"/>
            </w:pPr>
            <w:r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10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  <w:vAlign w:val="center"/>
          </w:tcPr>
          <w:p w:rsidR="00F1528B" w:rsidRPr="003161E4" w:rsidRDefault="00F1528B" w:rsidP="00ED17D4">
            <w:pPr>
              <w:jc w:val="center"/>
            </w:pPr>
            <w:r w:rsidRPr="003161E4"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11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  <w:vAlign w:val="center"/>
          </w:tcPr>
          <w:p w:rsidR="00F1528B" w:rsidRPr="00796F8E" w:rsidRDefault="00F1528B" w:rsidP="00ED17D4">
            <w:pPr>
              <w:jc w:val="center"/>
            </w:pPr>
            <w:r>
              <w:t>Нет</w:t>
            </w:r>
          </w:p>
        </w:tc>
      </w:tr>
      <w:tr w:rsidR="00F1528B" w:rsidRPr="004C5D77" w:rsidTr="009048D0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12</w:t>
            </w:r>
          </w:p>
        </w:tc>
        <w:tc>
          <w:tcPr>
            <w:tcW w:w="7716" w:type="dxa"/>
          </w:tcPr>
          <w:p w:rsidR="00F1528B" w:rsidRPr="00F1528B" w:rsidRDefault="00F1528B" w:rsidP="00ED17D4">
            <w:pPr>
              <w:jc w:val="both"/>
            </w:pPr>
            <w:r w:rsidRPr="00F1528B"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  <w:vAlign w:val="center"/>
          </w:tcPr>
          <w:p w:rsidR="00F1528B" w:rsidRPr="00796F8E" w:rsidRDefault="00F1528B" w:rsidP="00ED17D4">
            <w:pPr>
              <w:jc w:val="center"/>
            </w:pPr>
            <w:r>
              <w:t>Нет</w:t>
            </w:r>
          </w:p>
        </w:tc>
      </w:tr>
      <w:tr w:rsidR="00F1528B" w:rsidRPr="004C5D77" w:rsidTr="00963DEB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F1528B" w:rsidRDefault="00F1528B" w:rsidP="00F1528B">
            <w:r>
              <w:t>4.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528B" w:rsidRPr="00304433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304433">
              <w:rPr>
                <w:bCs/>
                <w:shd w:val="clear" w:color="auto" w:fill="FFFFFF"/>
              </w:rPr>
              <w:t>Общество с ограниченной ответственностью «Союзпроектстрой»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  <w:r w:rsidRPr="00F1528B">
              <w:t>№ 033.03-2009-5027124299-П-027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5</w:t>
            </w:r>
          </w:p>
        </w:tc>
        <w:tc>
          <w:tcPr>
            <w:tcW w:w="7716" w:type="dxa"/>
          </w:tcPr>
          <w:p w:rsidR="00F1528B" w:rsidRPr="00F1528B" w:rsidRDefault="00F1528B" w:rsidP="00ED17D4">
            <w:r w:rsidRPr="00F1528B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F1528B" w:rsidRDefault="00F1528B" w:rsidP="00ED17D4">
            <w:pPr>
              <w:jc w:val="center"/>
            </w:pPr>
          </w:p>
        </w:tc>
      </w:tr>
      <w:tr w:rsidR="00F1528B" w:rsidRPr="004C5D77" w:rsidTr="00963DEB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304433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5.3</w:t>
            </w:r>
          </w:p>
        </w:tc>
        <w:tc>
          <w:tcPr>
            <w:tcW w:w="7716" w:type="dxa"/>
          </w:tcPr>
          <w:p w:rsidR="00F1528B" w:rsidRPr="00F1528B" w:rsidRDefault="00F1528B" w:rsidP="00ED17D4">
            <w:r w:rsidRPr="00F1528B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F1528B" w:rsidRDefault="00F1528B" w:rsidP="00ED17D4">
            <w:pPr>
              <w:jc w:val="center"/>
            </w:pPr>
            <w:r w:rsidRPr="003A0843">
              <w:t>Нет</w:t>
            </w:r>
          </w:p>
        </w:tc>
      </w:tr>
      <w:tr w:rsidR="00F1528B" w:rsidRPr="004C5D77" w:rsidTr="00963DEB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304433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5.4</w:t>
            </w:r>
          </w:p>
        </w:tc>
        <w:tc>
          <w:tcPr>
            <w:tcW w:w="7716" w:type="dxa"/>
          </w:tcPr>
          <w:p w:rsidR="00F1528B" w:rsidRPr="00F1528B" w:rsidRDefault="00F1528B" w:rsidP="00ED17D4">
            <w:r w:rsidRPr="00F1528B">
              <w:t>Работы по подготовке проектов наружных сетей электроснабжения более 110 кВ включительно и их сооружений</w:t>
            </w:r>
          </w:p>
        </w:tc>
        <w:tc>
          <w:tcPr>
            <w:tcW w:w="1878" w:type="dxa"/>
          </w:tcPr>
          <w:p w:rsidR="00F1528B" w:rsidRDefault="00F1528B" w:rsidP="00ED17D4">
            <w:pPr>
              <w:jc w:val="center"/>
            </w:pPr>
            <w:r w:rsidRPr="003A0843">
              <w:t>Нет</w:t>
            </w:r>
          </w:p>
        </w:tc>
      </w:tr>
      <w:tr w:rsidR="00F1528B" w:rsidRPr="004C5D77" w:rsidTr="00963DEB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F1528B" w:rsidRDefault="00F1528B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304433" w:rsidRDefault="00F1528B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528B" w:rsidRPr="00F1528B" w:rsidRDefault="00F1528B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1528B" w:rsidRPr="00F1528B" w:rsidRDefault="00F1528B" w:rsidP="00ED17D4">
            <w:pPr>
              <w:contextualSpacing/>
              <w:jc w:val="center"/>
            </w:pPr>
            <w:r w:rsidRPr="00F1528B">
              <w:t>10</w:t>
            </w:r>
          </w:p>
        </w:tc>
        <w:tc>
          <w:tcPr>
            <w:tcW w:w="7716" w:type="dxa"/>
          </w:tcPr>
          <w:p w:rsidR="00F1528B" w:rsidRPr="00F1528B" w:rsidRDefault="00F1528B" w:rsidP="00ED17D4">
            <w:r w:rsidRPr="00F1528B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</w:tcPr>
          <w:p w:rsidR="00F1528B" w:rsidRPr="00064EF3" w:rsidRDefault="00F1528B" w:rsidP="00ED17D4">
            <w:pPr>
              <w:jc w:val="center"/>
            </w:pPr>
            <w:r w:rsidRPr="00064EF3">
              <w:t>Нет</w:t>
            </w:r>
          </w:p>
        </w:tc>
      </w:tr>
      <w:tr w:rsidR="00304433" w:rsidRPr="004C5D77" w:rsidTr="00545E5A">
        <w:trPr>
          <w:trHeight w:val="27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304433" w:rsidRDefault="00304433" w:rsidP="00F1528B">
            <w:r>
              <w:t>5.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4433" w:rsidRPr="00304433" w:rsidRDefault="00304433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304433">
              <w:rPr>
                <w:bCs/>
                <w:shd w:val="clear" w:color="auto" w:fill="FFFFFF"/>
              </w:rPr>
              <w:t xml:space="preserve">Общество с ограниченной </w:t>
            </w:r>
            <w:r w:rsidRPr="00304433">
              <w:rPr>
                <w:bCs/>
                <w:shd w:val="clear" w:color="auto" w:fill="FFFFFF"/>
              </w:rPr>
              <w:lastRenderedPageBreak/>
              <w:t>ответственностью «Спектр-Проект»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4433" w:rsidRPr="00F1528B" w:rsidRDefault="00304433" w:rsidP="00F1528B">
            <w:pPr>
              <w:shd w:val="clear" w:color="auto" w:fill="FFFFFF"/>
              <w:spacing w:after="15"/>
              <w:jc w:val="center"/>
            </w:pPr>
            <w:r w:rsidRPr="00304433">
              <w:lastRenderedPageBreak/>
              <w:t>№ 096.04-2010-7202134585-П-</w:t>
            </w:r>
            <w:r w:rsidRPr="00304433">
              <w:lastRenderedPageBreak/>
              <w:t>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304433" w:rsidRPr="00A404A4" w:rsidRDefault="00304433" w:rsidP="00ED17D4">
            <w:pPr>
              <w:contextualSpacing/>
              <w:jc w:val="center"/>
              <w:rPr>
                <w:color w:val="000000" w:themeColor="text1"/>
              </w:rPr>
            </w:pPr>
            <w:r w:rsidRPr="00A404A4">
              <w:rPr>
                <w:color w:val="000000" w:themeColor="text1"/>
              </w:rPr>
              <w:lastRenderedPageBreak/>
              <w:t>6.5</w:t>
            </w:r>
          </w:p>
        </w:tc>
        <w:tc>
          <w:tcPr>
            <w:tcW w:w="7716" w:type="dxa"/>
          </w:tcPr>
          <w:p w:rsidR="00304433" w:rsidRDefault="00304433" w:rsidP="00ED17D4">
            <w:pPr>
              <w:jc w:val="both"/>
            </w:pPr>
            <w:r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1878" w:type="dxa"/>
            <w:vAlign w:val="center"/>
          </w:tcPr>
          <w:p w:rsidR="00304433" w:rsidRDefault="00304433" w:rsidP="00ED17D4">
            <w:pPr>
              <w:jc w:val="center"/>
            </w:pPr>
            <w:r>
              <w:t>Нет</w:t>
            </w:r>
          </w:p>
        </w:tc>
      </w:tr>
      <w:tr w:rsidR="00304433" w:rsidRPr="004C5D77" w:rsidTr="00545E5A">
        <w:trPr>
          <w:trHeight w:val="27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304433" w:rsidRDefault="00304433" w:rsidP="00F1528B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433" w:rsidRPr="00304433" w:rsidRDefault="00304433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433" w:rsidRPr="00304433" w:rsidRDefault="00304433" w:rsidP="00F1528B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304433" w:rsidRPr="00A404A4" w:rsidRDefault="00304433" w:rsidP="00ED17D4">
            <w:pPr>
              <w:contextualSpacing/>
              <w:jc w:val="center"/>
              <w:rPr>
                <w:color w:val="000000" w:themeColor="text1"/>
              </w:rPr>
            </w:pPr>
            <w:r w:rsidRPr="00A404A4">
              <w:rPr>
                <w:color w:val="000000" w:themeColor="text1"/>
              </w:rPr>
              <w:t>7.4</w:t>
            </w:r>
          </w:p>
        </w:tc>
        <w:tc>
          <w:tcPr>
            <w:tcW w:w="7716" w:type="dxa"/>
          </w:tcPr>
          <w:p w:rsidR="00304433" w:rsidRDefault="00304433" w:rsidP="00ED17D4">
            <w:pPr>
              <w:jc w:val="both"/>
            </w:pPr>
            <w:r>
              <w:t>Разработка декларации безопасности гидротехнических сооружений</w:t>
            </w:r>
          </w:p>
        </w:tc>
        <w:tc>
          <w:tcPr>
            <w:tcW w:w="1878" w:type="dxa"/>
            <w:vAlign w:val="center"/>
          </w:tcPr>
          <w:p w:rsidR="00304433" w:rsidRDefault="00304433" w:rsidP="00ED17D4">
            <w:pPr>
              <w:jc w:val="center"/>
            </w:pPr>
            <w:r>
              <w:t>Нет</w:t>
            </w:r>
          </w:p>
        </w:tc>
      </w:tr>
      <w:tr w:rsidR="005A6868" w:rsidRPr="004C5D77" w:rsidTr="00545E5A">
        <w:trPr>
          <w:trHeight w:val="274"/>
        </w:trPr>
        <w:tc>
          <w:tcPr>
            <w:tcW w:w="628" w:type="dxa"/>
            <w:tcBorders>
              <w:right w:val="single" w:sz="4" w:space="0" w:color="000000"/>
            </w:tcBorders>
          </w:tcPr>
          <w:p w:rsidR="005A6868" w:rsidRDefault="005A6868" w:rsidP="00F1528B">
            <w:r>
              <w:lastRenderedPageBreak/>
              <w:t>6.</w:t>
            </w:r>
          </w:p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5A6868" w:rsidRPr="00304433" w:rsidRDefault="005A6868" w:rsidP="00F1528B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304433">
              <w:rPr>
                <w:bCs/>
                <w:shd w:val="clear" w:color="auto" w:fill="FFFFFF"/>
              </w:rPr>
              <w:t>Общество с ограниченной ответственностью «Теплоинж»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A6868" w:rsidRPr="00304433" w:rsidRDefault="005A6868" w:rsidP="00F1528B">
            <w:pPr>
              <w:shd w:val="clear" w:color="auto" w:fill="FFFFFF"/>
              <w:spacing w:after="15"/>
              <w:jc w:val="center"/>
            </w:pPr>
            <w:r w:rsidRPr="00304433">
              <w:t>№ 027.03-2009-7716103708-П-027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A6868" w:rsidRPr="005A6868" w:rsidRDefault="005A6868" w:rsidP="00DC0EC0">
            <w:pPr>
              <w:contextualSpacing/>
              <w:jc w:val="center"/>
            </w:pPr>
            <w:r w:rsidRPr="005A6868">
              <w:t>13.</w:t>
            </w:r>
          </w:p>
        </w:tc>
        <w:tc>
          <w:tcPr>
            <w:tcW w:w="7716" w:type="dxa"/>
          </w:tcPr>
          <w:p w:rsidR="005A6868" w:rsidRPr="005A6868" w:rsidRDefault="005A6868" w:rsidP="005A6868">
            <w:r w:rsidRPr="005A6868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</w:t>
            </w:r>
            <w:r w:rsidRPr="005A6868">
              <w:t>вправе заключать договоры по осуществлению организации работ</w:t>
            </w:r>
            <w:r>
              <w:t xml:space="preserve"> </w:t>
            </w:r>
            <w:r w:rsidRPr="005A6868">
              <w:t>стоимость,  которых по одному договору не превышает (составляет) двадцать пять миллионов рублей</w:t>
            </w:r>
            <w:r>
              <w:t>)</w:t>
            </w:r>
          </w:p>
        </w:tc>
        <w:tc>
          <w:tcPr>
            <w:tcW w:w="1878" w:type="dxa"/>
            <w:vAlign w:val="center"/>
          </w:tcPr>
          <w:p w:rsidR="005A6868" w:rsidRPr="00394897" w:rsidRDefault="005A6868" w:rsidP="00DC0EC0">
            <w:pPr>
              <w:jc w:val="center"/>
            </w:pPr>
            <w:r>
              <w:t>Н</w:t>
            </w:r>
            <w:r w:rsidRPr="00037A4C">
              <w:t>ет</w:t>
            </w:r>
          </w:p>
        </w:tc>
      </w:tr>
    </w:tbl>
    <w:p w:rsidR="00926692" w:rsidRPr="00204EF4" w:rsidRDefault="00926692" w:rsidP="007056DC"/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E3" w:rsidRDefault="004D4CE3" w:rsidP="008119C4">
      <w:r>
        <w:separator/>
      </w:r>
    </w:p>
  </w:endnote>
  <w:endnote w:type="continuationSeparator" w:id="1">
    <w:p w:rsidR="004D4CE3" w:rsidRDefault="004D4CE3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933EBF">
        <w:pPr>
          <w:pStyle w:val="af0"/>
          <w:jc w:val="right"/>
        </w:pPr>
        <w:fldSimple w:instr=" PAGE   \* MERGEFORMAT ">
          <w:r w:rsidR="00287322">
            <w:rPr>
              <w:noProof/>
            </w:rPr>
            <w:t>5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E3" w:rsidRDefault="004D4CE3" w:rsidP="008119C4">
      <w:r>
        <w:separator/>
      </w:r>
    </w:p>
  </w:footnote>
  <w:footnote w:type="continuationSeparator" w:id="1">
    <w:p w:rsidR="004D4CE3" w:rsidRDefault="004D4CE3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16"/>
  </w:num>
  <w:num w:numId="13">
    <w:abstractNumId w:val="15"/>
  </w:num>
  <w:num w:numId="14">
    <w:abstractNumId w:val="4"/>
  </w:num>
  <w:num w:numId="15">
    <w:abstractNumId w:val="8"/>
  </w:num>
  <w:num w:numId="16">
    <w:abstractNumId w:val="6"/>
  </w:num>
  <w:num w:numId="17">
    <w:abstractNumId w:val="18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0B8"/>
    <w:rsid w:val="00220D0F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6029F"/>
    <w:rsid w:val="00260734"/>
    <w:rsid w:val="0026594E"/>
    <w:rsid w:val="00272D35"/>
    <w:rsid w:val="002736E2"/>
    <w:rsid w:val="0027593C"/>
    <w:rsid w:val="00275C63"/>
    <w:rsid w:val="0028094D"/>
    <w:rsid w:val="00287322"/>
    <w:rsid w:val="00293FE0"/>
    <w:rsid w:val="0029469D"/>
    <w:rsid w:val="002A27CD"/>
    <w:rsid w:val="002B3B7C"/>
    <w:rsid w:val="002B6EE6"/>
    <w:rsid w:val="002C7511"/>
    <w:rsid w:val="002D3AAA"/>
    <w:rsid w:val="002D46D1"/>
    <w:rsid w:val="002D5DEE"/>
    <w:rsid w:val="002E18ED"/>
    <w:rsid w:val="002E3CD0"/>
    <w:rsid w:val="002E47D1"/>
    <w:rsid w:val="002F1253"/>
    <w:rsid w:val="0030153B"/>
    <w:rsid w:val="00303016"/>
    <w:rsid w:val="00304433"/>
    <w:rsid w:val="00306F4C"/>
    <w:rsid w:val="003117CD"/>
    <w:rsid w:val="003164FB"/>
    <w:rsid w:val="003206CB"/>
    <w:rsid w:val="003214A2"/>
    <w:rsid w:val="00324DB9"/>
    <w:rsid w:val="00342349"/>
    <w:rsid w:val="00347040"/>
    <w:rsid w:val="003558ED"/>
    <w:rsid w:val="00360D50"/>
    <w:rsid w:val="00361E63"/>
    <w:rsid w:val="003641AB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7136"/>
    <w:rsid w:val="003E7397"/>
    <w:rsid w:val="003E7409"/>
    <w:rsid w:val="003F2A5D"/>
    <w:rsid w:val="003F4223"/>
    <w:rsid w:val="003F44D5"/>
    <w:rsid w:val="003F721F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80D"/>
    <w:rsid w:val="004B35B6"/>
    <w:rsid w:val="004B4ACE"/>
    <w:rsid w:val="004D4CE3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48B3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2CE6"/>
    <w:rsid w:val="00783920"/>
    <w:rsid w:val="00790DE2"/>
    <w:rsid w:val="007A477A"/>
    <w:rsid w:val="007A5056"/>
    <w:rsid w:val="007A74FF"/>
    <w:rsid w:val="007B38D2"/>
    <w:rsid w:val="007B39E8"/>
    <w:rsid w:val="007C2C59"/>
    <w:rsid w:val="007C520C"/>
    <w:rsid w:val="007D299E"/>
    <w:rsid w:val="007D5084"/>
    <w:rsid w:val="007D576A"/>
    <w:rsid w:val="008018DE"/>
    <w:rsid w:val="00801A94"/>
    <w:rsid w:val="00807877"/>
    <w:rsid w:val="008119C4"/>
    <w:rsid w:val="00815D90"/>
    <w:rsid w:val="00820F96"/>
    <w:rsid w:val="008217FF"/>
    <w:rsid w:val="008230D2"/>
    <w:rsid w:val="0082332E"/>
    <w:rsid w:val="00824613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E6BC2"/>
    <w:rsid w:val="008F0AD6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3EBF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B5C"/>
    <w:rsid w:val="00AA3BF8"/>
    <w:rsid w:val="00AB5E25"/>
    <w:rsid w:val="00AB6253"/>
    <w:rsid w:val="00AC0B7D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3BC4"/>
    <w:rsid w:val="00B076FC"/>
    <w:rsid w:val="00B21EC1"/>
    <w:rsid w:val="00B26D66"/>
    <w:rsid w:val="00B27EB9"/>
    <w:rsid w:val="00B31C44"/>
    <w:rsid w:val="00B33849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3362"/>
    <w:rsid w:val="00CE50CB"/>
    <w:rsid w:val="00CF074C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4614"/>
    <w:rsid w:val="00DC4D84"/>
    <w:rsid w:val="00DD0377"/>
    <w:rsid w:val="00DD48CE"/>
    <w:rsid w:val="00DD6D92"/>
    <w:rsid w:val="00DD7382"/>
    <w:rsid w:val="00DE47D8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58</cp:revision>
  <cp:lastPrinted>2011-03-25T06:35:00Z</cp:lastPrinted>
  <dcterms:created xsi:type="dcterms:W3CDTF">2011-01-19T09:10:00Z</dcterms:created>
  <dcterms:modified xsi:type="dcterms:W3CDTF">2011-05-18T07:22:00Z</dcterms:modified>
</cp:coreProperties>
</file>