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1D6264">
        <w:rPr>
          <w:b/>
          <w:sz w:val="28"/>
          <w:szCs w:val="28"/>
        </w:rPr>
        <w:t>5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1D6264">
        <w:rPr>
          <w:sz w:val="28"/>
          <w:szCs w:val="28"/>
        </w:rPr>
        <w:t>16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0B466B">
        <w:rPr>
          <w:sz w:val="28"/>
          <w:szCs w:val="28"/>
        </w:rPr>
        <w:t>июля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Pr="00F818DA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>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r w:rsidR="008D30C9">
        <w:rPr>
          <w:sz w:val="28"/>
          <w:szCs w:val="28"/>
        </w:rPr>
        <w:t>Разгона Л.А.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4F4F13" w:rsidRPr="00F818DA" w:rsidRDefault="001F3F66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>
        <w:rPr>
          <w:sz w:val="28"/>
          <w:szCs w:val="28"/>
        </w:rPr>
        <w:t xml:space="preserve">. </w:t>
      </w:r>
      <w:r w:rsidR="004F4F13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4F4F13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4F4F13" w:rsidRPr="00F818DA">
        <w:rPr>
          <w:sz w:val="28"/>
          <w:szCs w:val="28"/>
        </w:rPr>
        <w:br/>
      </w:r>
      <w:proofErr w:type="spellStart"/>
      <w:r w:rsidR="004F4F13">
        <w:rPr>
          <w:sz w:val="28"/>
          <w:szCs w:val="28"/>
        </w:rPr>
        <w:t>Шилину</w:t>
      </w:r>
      <w:proofErr w:type="spellEnd"/>
      <w:r w:rsidR="004F4F13">
        <w:rPr>
          <w:sz w:val="28"/>
          <w:szCs w:val="28"/>
        </w:rPr>
        <w:t xml:space="preserve"> М.В.</w:t>
      </w:r>
      <w:r w:rsidR="004F4F13" w:rsidRPr="00F818DA">
        <w:rPr>
          <w:sz w:val="28"/>
          <w:szCs w:val="28"/>
        </w:rPr>
        <w:t xml:space="preserve"> о поступивших заявлениях членов Партнерства об изменении перечня </w:t>
      </w:r>
      <w:r w:rsidR="004F4F13" w:rsidRPr="00F818DA">
        <w:rPr>
          <w:sz w:val="28"/>
          <w:szCs w:val="28"/>
        </w:rPr>
        <w:lastRenderedPageBreak/>
        <w:t>видов работ, на осуществление которых предоставлено свидетельство о допуске Партнерства.</w:t>
      </w: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</w:p>
    <w:p w:rsidR="004F4F13" w:rsidRPr="00F818DA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.1. </w:t>
      </w:r>
      <w:proofErr w:type="gramStart"/>
      <w:r w:rsidR="004F4F13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4F4F13" w:rsidRPr="00F818DA" w:rsidRDefault="001F3F66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 w:rsidR="004F4F13">
        <w:rPr>
          <w:sz w:val="28"/>
          <w:szCs w:val="28"/>
        </w:rPr>
        <w:t>Шилиной</w:t>
      </w:r>
      <w:proofErr w:type="spellEnd"/>
      <w:r w:rsidR="004F4F13">
        <w:rPr>
          <w:sz w:val="28"/>
          <w:szCs w:val="28"/>
        </w:rPr>
        <w:t xml:space="preserve"> М.В.</w:t>
      </w:r>
      <w:r w:rsidR="004F4F13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4F4F13">
        <w:rPr>
          <w:sz w:val="28"/>
          <w:szCs w:val="28"/>
        </w:rPr>
        <w:t>ю</w:t>
      </w:r>
      <w:r w:rsidR="004F4F13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4A0F71">
        <w:t>16</w:t>
      </w:r>
      <w:r w:rsidRPr="00C75A6D">
        <w:t>» июля 2010 г. № 01</w:t>
      </w:r>
      <w:r w:rsidR="004A0F71">
        <w:t>5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220D0F" w:rsidP="003148F5">
            <w:r>
              <w:t>ООО «</w:t>
            </w:r>
            <w:proofErr w:type="spellStart"/>
            <w:r>
              <w:t>ГенПроектСтрой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13E79" w:rsidRPr="00C75A6D" w:rsidRDefault="00156398" w:rsidP="003148F5">
            <w:r>
              <w:t>030.02-2009-7724640424-П-027</w:t>
            </w:r>
          </w:p>
        </w:tc>
        <w:tc>
          <w:tcPr>
            <w:tcW w:w="9781" w:type="dxa"/>
          </w:tcPr>
          <w:p w:rsidR="00CA6F50" w:rsidRPr="00F512DA" w:rsidRDefault="00CA6F50" w:rsidP="00CA6F50">
            <w:pPr>
              <w:contextualSpacing/>
              <w:rPr>
                <w:b/>
                <w:bCs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F512DA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электроснабжение 110 кВ и более и их сооружений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газоснабжения и их сооружений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жилых зданий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транспортного назначения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гидротехнических сооружений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специального назначения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военной инфраструктуры и их комплексов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очистных сооружений и их комплексов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разработке специальных разделов проектной документации: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Инженерно-технические мероприятия по гражданской обороне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Инженерно-технические мероприятия по предупреждению чрезвычайных ситуаций природного и техногенного </w:t>
            </w:r>
            <w:r w:rsidRPr="00F512DA">
              <w:rPr>
                <w:sz w:val="18"/>
                <w:szCs w:val="18"/>
              </w:rPr>
              <w:lastRenderedPageBreak/>
              <w:t>характера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Разработка декларации по промышленной безопасности опасных производственных объектов</w:t>
            </w:r>
          </w:p>
          <w:p w:rsidR="00CA6F50" w:rsidRPr="00F512DA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Разработка декларации безопасности гидротехнических сооружений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CA6F50" w:rsidRPr="00F512DA" w:rsidRDefault="00CA6F50" w:rsidP="00CA6F50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B076FC" w:rsidRDefault="00CA6F50" w:rsidP="00CA6F50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rPr>
          <w:trHeight w:val="288"/>
        </w:trPr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C13E79" w:rsidRPr="00122BFF" w:rsidRDefault="00122BFF" w:rsidP="003148F5">
            <w:r>
              <w:t xml:space="preserve">ООО «ЭКОЛОГ ПРОЕКТ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2268" w:type="dxa"/>
          </w:tcPr>
          <w:p w:rsidR="00C13E79" w:rsidRPr="000721FD" w:rsidRDefault="00850821" w:rsidP="003148F5">
            <w:pPr>
              <w:contextualSpacing/>
              <w:rPr>
                <w:bCs/>
              </w:rPr>
            </w:pPr>
            <w:r>
              <w:rPr>
                <w:bCs/>
              </w:rPr>
              <w:t>048.03-2009-7718598485-П-027</w:t>
            </w:r>
          </w:p>
        </w:tc>
        <w:tc>
          <w:tcPr>
            <w:tcW w:w="9781" w:type="dxa"/>
          </w:tcPr>
          <w:p w:rsidR="00B97D13" w:rsidRPr="00F512DA" w:rsidRDefault="00B97D13" w:rsidP="00B97D13">
            <w:pPr>
              <w:contextualSpacing/>
              <w:rPr>
                <w:b/>
                <w:bCs/>
                <w:sz w:val="18"/>
                <w:szCs w:val="18"/>
              </w:rPr>
            </w:pPr>
            <w:bookmarkStart w:id="0" w:name="8792"/>
            <w:bookmarkEnd w:id="0"/>
            <w:r w:rsidRPr="00F512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F512DA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газоснабжения и их сооружений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жилых зданий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транспортного назначения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гидротехнических сооружений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очистных сооружений и их комплексов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разработке специальных разделов проектной документации:</w:t>
            </w:r>
          </w:p>
          <w:p w:rsidR="00B97D13" w:rsidRPr="00F512DA" w:rsidRDefault="00B97D13" w:rsidP="00B97D13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Разработка декларации безопасности гидротехнических сооружений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B97D13" w:rsidRPr="00F512DA" w:rsidRDefault="00B97D13" w:rsidP="00B97D13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FC3CAD" w:rsidRDefault="00B97D13" w:rsidP="00B97D1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12DA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12DA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3.</w:t>
            </w:r>
          </w:p>
        </w:tc>
        <w:tc>
          <w:tcPr>
            <w:tcW w:w="2410" w:type="dxa"/>
          </w:tcPr>
          <w:p w:rsidR="00C13E79" w:rsidRPr="00C75A6D" w:rsidRDefault="005B1237" w:rsidP="003148F5">
            <w:r>
              <w:t>ЗАО «Проектная мастерская РДК»</w:t>
            </w:r>
          </w:p>
        </w:tc>
        <w:tc>
          <w:tcPr>
            <w:tcW w:w="2268" w:type="dxa"/>
          </w:tcPr>
          <w:p w:rsidR="00C13E79" w:rsidRPr="00E52ADE" w:rsidRDefault="00D268C9" w:rsidP="00510B42">
            <w:r>
              <w:t>107.02-2010-7713651167-П-027</w:t>
            </w:r>
          </w:p>
        </w:tc>
        <w:tc>
          <w:tcPr>
            <w:tcW w:w="9781" w:type="dxa"/>
          </w:tcPr>
          <w:p w:rsidR="005B1237" w:rsidRPr="005B1237" w:rsidRDefault="005B1237" w:rsidP="005B1237">
            <w:pPr>
              <w:contextualSpacing/>
              <w:rPr>
                <w:b/>
                <w:bCs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1 </w:t>
            </w:r>
            <w:r w:rsidRPr="005B1237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1.2 Работы по подготовке схемы планировочной организации трассы линейного объекта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1.3 Работы по подготовке </w:t>
            </w:r>
            <w:proofErr w:type="gramStart"/>
            <w:r w:rsidRPr="005B1237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2 </w:t>
            </w:r>
            <w:r w:rsidRPr="005B1237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lastRenderedPageBreak/>
              <w:t xml:space="preserve">3 </w:t>
            </w:r>
            <w:r w:rsidRPr="005B1237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4 </w:t>
            </w:r>
            <w:r w:rsidRPr="005B1237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B1237">
              <w:rPr>
                <w:sz w:val="18"/>
                <w:szCs w:val="18"/>
              </w:rPr>
              <w:t>противодымной</w:t>
            </w:r>
            <w:proofErr w:type="spellEnd"/>
            <w:r w:rsidRPr="005B1237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4.2 Работы по подготовке проектов внутренних инженерных систем водоснабжения и канализации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4.5 Работы по подготовке проектов внутренних диспетчеризации, автоматизации и управления инженерными системами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5 </w:t>
            </w:r>
            <w:r w:rsidRPr="005B1237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5.1 Работы по подготовке проектов наружных сетей теплоснабжения и их сооружений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5.2 Работы по подготовке проектов наружных сетей водоснабжения и канализации и их сооружений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5.3 Работы по подготовке проектов наружных сетей электроснабжения до 35 кВ включительно и их сооружений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5.6 Работы по подготовке проектов наружных сетей слаботочных систем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5.7 Работы по подготовке проектов наружных сетей газоснабжения и их сооружений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6 </w:t>
            </w:r>
            <w:r w:rsidRPr="005B1237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5B1237" w:rsidRPr="005B1237" w:rsidRDefault="005B1237" w:rsidP="005B1237">
            <w:pPr>
              <w:contextualSpacing/>
              <w:rPr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>6.12 Работы по подготовке технологических решений объектов очистных сооружений и их комплексов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11 </w:t>
            </w:r>
            <w:r w:rsidRPr="005B1237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5B1237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5B1237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5B1237" w:rsidRPr="005B1237" w:rsidRDefault="005B1237" w:rsidP="005B1237">
            <w:pPr>
              <w:contextualSpacing/>
              <w:rPr>
                <w:b/>
                <w:sz w:val="18"/>
                <w:szCs w:val="18"/>
              </w:rPr>
            </w:pPr>
            <w:r w:rsidRPr="005B1237">
              <w:rPr>
                <w:sz w:val="18"/>
                <w:szCs w:val="18"/>
              </w:rPr>
              <w:t xml:space="preserve">12 </w:t>
            </w:r>
            <w:r w:rsidRPr="005B1237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685212" w:rsidRDefault="005B1237" w:rsidP="005B123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1237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5B1237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722ECB" w:rsidRPr="00C75A6D" w:rsidTr="00A160FE">
        <w:tc>
          <w:tcPr>
            <w:tcW w:w="675" w:type="dxa"/>
          </w:tcPr>
          <w:p w:rsidR="00722ECB" w:rsidRPr="00C75A6D" w:rsidRDefault="00722ECB" w:rsidP="003148F5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722ECB" w:rsidRDefault="00722ECB" w:rsidP="003148F5">
            <w:r>
              <w:t>ООО «</w:t>
            </w:r>
            <w:proofErr w:type="spellStart"/>
            <w:r>
              <w:t>Каналсетьпроект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722ECB" w:rsidRPr="00E52ADE" w:rsidRDefault="00D268C9" w:rsidP="00510B42">
            <w:r>
              <w:t>045.03-2009-7727225539-П-027</w:t>
            </w:r>
          </w:p>
        </w:tc>
        <w:tc>
          <w:tcPr>
            <w:tcW w:w="9781" w:type="dxa"/>
          </w:tcPr>
          <w:p w:rsidR="00722ECB" w:rsidRPr="00722ECB" w:rsidRDefault="00722ECB" w:rsidP="00722EC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722ECB">
              <w:rPr>
                <w:rFonts w:ascii="Times New Roman" w:hAnsi="Times New Roman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722ECB" w:rsidRPr="00722ECB" w:rsidRDefault="00722ECB" w:rsidP="00722EC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92F7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.Работы по подготовке конструктивных решений</w:t>
            </w:r>
          </w:p>
          <w:p w:rsidR="00722ECB" w:rsidRPr="00722ECB" w:rsidRDefault="00722ECB" w:rsidP="00722EC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:rsidR="00722ECB" w:rsidRPr="00722ECB" w:rsidRDefault="00722ECB" w:rsidP="00722EC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:rsidR="00722ECB" w:rsidRPr="00722ECB" w:rsidRDefault="00722ECB" w:rsidP="00722EC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18"/>
                <w:szCs w:val="18"/>
              </w:rPr>
            </w:pPr>
            <w:r w:rsidRPr="00722ECB">
              <w:rPr>
                <w:rFonts w:ascii="Times New Roman" w:hAnsi="Times New Roman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:rsidR="00722ECB" w:rsidRPr="00722ECB" w:rsidRDefault="00722ECB" w:rsidP="00722EC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22ECB">
              <w:rPr>
                <w:rFonts w:ascii="Times New Roman" w:hAnsi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126C4"/>
    <w:rsid w:val="0001655D"/>
    <w:rsid w:val="00023145"/>
    <w:rsid w:val="00023C1A"/>
    <w:rsid w:val="00037CDC"/>
    <w:rsid w:val="00052ADB"/>
    <w:rsid w:val="00057C37"/>
    <w:rsid w:val="00063A6A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E768A"/>
    <w:rsid w:val="000F2927"/>
    <w:rsid w:val="000F6A92"/>
    <w:rsid w:val="00100636"/>
    <w:rsid w:val="0010570C"/>
    <w:rsid w:val="00107881"/>
    <w:rsid w:val="00122640"/>
    <w:rsid w:val="00122BFF"/>
    <w:rsid w:val="00140855"/>
    <w:rsid w:val="00144C5C"/>
    <w:rsid w:val="00156398"/>
    <w:rsid w:val="0018220B"/>
    <w:rsid w:val="0019107A"/>
    <w:rsid w:val="0019692A"/>
    <w:rsid w:val="001B00C4"/>
    <w:rsid w:val="001B4BFB"/>
    <w:rsid w:val="001C1D2C"/>
    <w:rsid w:val="001C4471"/>
    <w:rsid w:val="001C4C9D"/>
    <w:rsid w:val="001D0631"/>
    <w:rsid w:val="001D461C"/>
    <w:rsid w:val="001D6264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4CC1"/>
    <w:rsid w:val="00380769"/>
    <w:rsid w:val="00384826"/>
    <w:rsid w:val="0038645F"/>
    <w:rsid w:val="00386505"/>
    <w:rsid w:val="003924FD"/>
    <w:rsid w:val="003972C7"/>
    <w:rsid w:val="003A0206"/>
    <w:rsid w:val="003A3166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10B42"/>
    <w:rsid w:val="005134F3"/>
    <w:rsid w:val="00521EB7"/>
    <w:rsid w:val="00523C7E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698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7877"/>
    <w:rsid w:val="00820F96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90080D"/>
    <w:rsid w:val="0091095E"/>
    <w:rsid w:val="0091369B"/>
    <w:rsid w:val="00917E19"/>
    <w:rsid w:val="0092215B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D5ABA"/>
    <w:rsid w:val="009E4C5B"/>
    <w:rsid w:val="00A148CF"/>
    <w:rsid w:val="00A160FE"/>
    <w:rsid w:val="00A168A2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B0080D"/>
    <w:rsid w:val="00B076FC"/>
    <w:rsid w:val="00B21EC1"/>
    <w:rsid w:val="00B31C44"/>
    <w:rsid w:val="00B379D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C78"/>
    <w:rsid w:val="00C41733"/>
    <w:rsid w:val="00C4207F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F6B"/>
    <w:rsid w:val="00E036B1"/>
    <w:rsid w:val="00E14EB9"/>
    <w:rsid w:val="00E35823"/>
    <w:rsid w:val="00E439BD"/>
    <w:rsid w:val="00E45163"/>
    <w:rsid w:val="00E462D6"/>
    <w:rsid w:val="00E47DAC"/>
    <w:rsid w:val="00E52ADE"/>
    <w:rsid w:val="00E54111"/>
    <w:rsid w:val="00E56636"/>
    <w:rsid w:val="00E60769"/>
    <w:rsid w:val="00E716A2"/>
    <w:rsid w:val="00E75C69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93</cp:revision>
  <cp:lastPrinted>2010-07-19T06:29:00Z</cp:lastPrinted>
  <dcterms:created xsi:type="dcterms:W3CDTF">2010-04-14T09:44:00Z</dcterms:created>
  <dcterms:modified xsi:type="dcterms:W3CDTF">2010-07-19T06:34:00Z</dcterms:modified>
</cp:coreProperties>
</file>